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vbaData.xml" ContentType="application/vnd.ms-word.vbaData+xml"/>
  <Override PartName="/word/theme/theme1.xml" ContentType="application/vnd.openxmlformats-officedocument.theme+xml"/>
  <Override PartName="/word/fontTable.xml" ContentType="application/vnd.openxmlformats-officedocument.wordprocessingml.fontTable+xml"/>
  <Default Extension="ico" ContentType="image/.ico"/>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1624ff4ea27406d"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Layout w:type="fixed"/>
        <w:tblCellMar>
          <w:left w:w="0" w:type="dxa"/>
          <w:right w:w="0" w:type="dxa"/>
        </w:tblCellMar>
        <w:tblLook w:val="0000"/>
      </w:tblPr>
      <w:tblGrid>
        <w:gridCol w:w="8505"/>
      </w:tblGrid>
      <w:tr w:rsidR="003B4DF6" w:rsidTr="0096106A">
        <w:tc>
          <w:tcPr>
            <w:tcW w:w="8505" w:type="dxa"/>
            <w:shd w:val="clear" w:color="auto" w:fill="auto"/>
          </w:tcPr>
          <w:p w:rsidR="003B4DF6" w:rsidRPr="003B4DF6" w:rsidRDefault="003B4DF6" w:rsidP="003B4DF6">
            <w:pPr>
              <w:keepNext/>
              <w:overflowPunct w:val="0"/>
              <w:autoSpaceDE w:val="0"/>
              <w:spacing w:line="280" w:lineRule="exact"/>
              <w:textAlignment w:val="baseline"/>
              <w:rPr>
                <w:b/>
              </w:rPr>
            </w:pPr>
            <w:r w:rsidRPr="003B4DF6">
              <w:rPr>
                <w:b/>
              </w:rPr>
              <w:t>Modeller vedr.</w:t>
            </w:r>
            <w:r>
              <w:rPr>
                <w:b/>
              </w:rPr>
              <w:t xml:space="preserve"> kapitaludvidelse -</w:t>
            </w:r>
            <w:r w:rsidRPr="003B4DF6">
              <w:rPr>
                <w:b/>
              </w:rPr>
              <w:t xml:space="preserve"> Karup Lufthavn</w:t>
            </w:r>
          </w:p>
        </w:tc>
      </w:tr>
      <w:tr w:rsidR="003B4DF6" w:rsidTr="0096106A">
        <w:tc>
          <w:tcPr>
            <w:tcW w:w="8505" w:type="dxa"/>
            <w:shd w:val="clear" w:color="auto" w:fill="auto"/>
          </w:tcPr>
          <w:p w:rsidR="003B4DF6" w:rsidRDefault="003B4DF6" w:rsidP="0096106A"/>
          <w:p w:rsidR="003B4DF6" w:rsidRDefault="003B4DF6" w:rsidP="0096106A"/>
          <w:p w:rsidR="003B4DF6" w:rsidRDefault="003B4DF6" w:rsidP="0096106A">
            <w:r>
              <w:t>Karup Lufthavn ejes af følgende kommuner igennem et andelsselskab med begræ</w:t>
            </w:r>
            <w:r>
              <w:t>n</w:t>
            </w:r>
            <w:r>
              <w:t>set ansvar (Karup Lufthavn a.m.b.a.): Herning, Holstebro, Ikast-Brande, Lemvig, Ringkøbing-Skjern, Si</w:t>
            </w:r>
            <w:r>
              <w:t>l</w:t>
            </w:r>
            <w:r>
              <w:t>keborg, Skive, Struer og Viborg.</w:t>
            </w:r>
          </w:p>
          <w:p w:rsidR="003B4DF6" w:rsidRDefault="003B4DF6" w:rsidP="0096106A"/>
          <w:p w:rsidR="003B4DF6" w:rsidRPr="00B950AD" w:rsidRDefault="003B4DF6" w:rsidP="0096106A">
            <w:r>
              <w:t xml:space="preserve">Den daglige ledelse varetages af et </w:t>
            </w:r>
            <w:r w:rsidRPr="003B4DF6">
              <w:t>forretningsudvalg</w:t>
            </w:r>
            <w:r>
              <w:t>, som består af følgende me</w:t>
            </w:r>
            <w:r>
              <w:t>d</w:t>
            </w:r>
            <w:r>
              <w:t>lemmer: b</w:t>
            </w:r>
            <w:r w:rsidRPr="00B950AD">
              <w:t xml:space="preserve">yrådsmedlem Arne </w:t>
            </w:r>
            <w:proofErr w:type="spellStart"/>
            <w:r w:rsidRPr="00B950AD">
              <w:t>Lægaard</w:t>
            </w:r>
            <w:proofErr w:type="spellEnd"/>
            <w:r w:rsidRPr="00B950AD">
              <w:t xml:space="preserve">, Holstebro Kommune (formand), </w:t>
            </w:r>
            <w:r>
              <w:t>b</w:t>
            </w:r>
            <w:r w:rsidRPr="00B950AD">
              <w:t xml:space="preserve">orgmester Carsten </w:t>
            </w:r>
            <w:proofErr w:type="spellStart"/>
            <w:r w:rsidRPr="00B950AD">
              <w:t>Ki</w:t>
            </w:r>
            <w:r w:rsidRPr="00B950AD">
              <w:t>s</w:t>
            </w:r>
            <w:r w:rsidRPr="00B950AD">
              <w:t>smeyer</w:t>
            </w:r>
            <w:proofErr w:type="spellEnd"/>
            <w:r w:rsidRPr="00B950AD">
              <w:t xml:space="preserve">, Ikast-Brande Kommune (næstformand), </w:t>
            </w:r>
            <w:r>
              <w:t>b</w:t>
            </w:r>
            <w:r w:rsidRPr="00B950AD">
              <w:t xml:space="preserve">yrådsmedlem Finn </w:t>
            </w:r>
            <w:proofErr w:type="spellStart"/>
            <w:r w:rsidRPr="00B950AD">
              <w:t>Stengel</w:t>
            </w:r>
            <w:proofErr w:type="spellEnd"/>
            <w:r w:rsidRPr="00B950AD">
              <w:t xml:space="preserve"> Petersen, He</w:t>
            </w:r>
            <w:r w:rsidRPr="00B950AD">
              <w:t>r</w:t>
            </w:r>
            <w:r w:rsidRPr="00B950AD">
              <w:t xml:space="preserve">ning Kommune, </w:t>
            </w:r>
            <w:r>
              <w:t>b</w:t>
            </w:r>
            <w:r w:rsidRPr="00B950AD">
              <w:t xml:space="preserve">orgmester Søren Pape Poulsen, Viborg Kommune og </w:t>
            </w:r>
            <w:r>
              <w:t>k</w:t>
            </w:r>
            <w:r w:rsidRPr="00B950AD">
              <w:t xml:space="preserve">oncernchef Ove </w:t>
            </w:r>
            <w:proofErr w:type="spellStart"/>
            <w:r w:rsidRPr="00B950AD">
              <w:t>Kloch</w:t>
            </w:r>
            <w:proofErr w:type="spellEnd"/>
            <w:r w:rsidRPr="00B950AD">
              <w:t xml:space="preserve">, </w:t>
            </w:r>
            <w:proofErr w:type="spellStart"/>
            <w:r w:rsidRPr="00B950AD">
              <w:t>Hed</w:t>
            </w:r>
            <w:r w:rsidRPr="00B950AD">
              <w:t>e</w:t>
            </w:r>
            <w:r w:rsidRPr="00B950AD">
              <w:t>selskabet</w:t>
            </w:r>
            <w:proofErr w:type="spellEnd"/>
            <w:r w:rsidRPr="00B950AD">
              <w:t>, Viborg.</w:t>
            </w:r>
          </w:p>
          <w:p w:rsidR="003B4DF6" w:rsidRDefault="003B4DF6" w:rsidP="0096106A"/>
          <w:p w:rsidR="003B4DF6" w:rsidRPr="00B950AD" w:rsidRDefault="003B4DF6" w:rsidP="0096106A">
            <w:r w:rsidRPr="00DB0DBB">
              <w:rPr>
                <w:rFonts w:ascii="Calibri" w:hAnsi="Calibri"/>
                <w:u w:val="single"/>
              </w:rPr>
              <w:t>Bestyrelsen</w:t>
            </w:r>
            <w:r>
              <w:t xml:space="preserve"> i Karup Lufthavn består ud over forretningsudvalgets medlemmer af fø</w:t>
            </w:r>
            <w:r>
              <w:t>l</w:t>
            </w:r>
            <w:r>
              <w:t>gende repræsentanter: b</w:t>
            </w:r>
            <w:r w:rsidRPr="00B950AD">
              <w:t xml:space="preserve">yrådsmedlem Jens Kirkeby, Herning Kommune, </w:t>
            </w:r>
            <w:r>
              <w:t>b</w:t>
            </w:r>
            <w:r w:rsidRPr="00B950AD">
              <w:t>yrådsme</w:t>
            </w:r>
            <w:r w:rsidRPr="00B950AD">
              <w:t>d</w:t>
            </w:r>
            <w:r w:rsidRPr="00B950AD">
              <w:t xml:space="preserve">lem Christian </w:t>
            </w:r>
            <w:proofErr w:type="spellStart"/>
            <w:r w:rsidRPr="00B950AD">
              <w:t>Hæsum</w:t>
            </w:r>
            <w:proofErr w:type="spellEnd"/>
            <w:r w:rsidRPr="00B950AD">
              <w:t xml:space="preserve">, Herning Kommune, </w:t>
            </w:r>
            <w:r>
              <w:t>b</w:t>
            </w:r>
            <w:r w:rsidRPr="00B950AD">
              <w:t xml:space="preserve">orgmester H.C. Østerby, Holstebro Kommune, </w:t>
            </w:r>
            <w:r>
              <w:t>b</w:t>
            </w:r>
            <w:r w:rsidRPr="00B950AD">
              <w:t>orgmester Erik Fly</w:t>
            </w:r>
            <w:r w:rsidRPr="00B950AD">
              <w:t>v</w:t>
            </w:r>
            <w:r w:rsidRPr="00B950AD">
              <w:t xml:space="preserve">holm, Lemvig Kommune, </w:t>
            </w:r>
            <w:r>
              <w:t>b</w:t>
            </w:r>
            <w:r w:rsidRPr="00B950AD">
              <w:t xml:space="preserve">orgmester Iver Enevoldsen, Ringkøbing - Skjern Kommune, </w:t>
            </w:r>
            <w:r>
              <w:t>b</w:t>
            </w:r>
            <w:r w:rsidRPr="00B950AD">
              <w:t xml:space="preserve">orgmester Hanne Bæk Olsen, Silkeborg Kommune, </w:t>
            </w:r>
            <w:r>
              <w:t>b</w:t>
            </w:r>
            <w:r w:rsidRPr="00B950AD">
              <w:t xml:space="preserve">yrådsmedlem Frede Frandsen, Skive Kommune og </w:t>
            </w:r>
            <w:r>
              <w:t>b</w:t>
            </w:r>
            <w:r w:rsidRPr="00B950AD">
              <w:t xml:space="preserve">orgmester Niels Viggo </w:t>
            </w:r>
            <w:proofErr w:type="spellStart"/>
            <w:r w:rsidRPr="00B950AD">
              <w:t>Lynghøj</w:t>
            </w:r>
            <w:proofErr w:type="spellEnd"/>
            <w:r w:rsidRPr="00B950AD">
              <w:t xml:space="preserve"> Christensen, Struer Kommune</w:t>
            </w:r>
            <w:r>
              <w:t>.</w:t>
            </w:r>
          </w:p>
          <w:p w:rsidR="003B4DF6" w:rsidRDefault="003B4DF6" w:rsidP="0096106A">
            <w:r>
              <w:t xml:space="preserve"> </w:t>
            </w:r>
          </w:p>
          <w:p w:rsidR="003B4DF6" w:rsidRDefault="003B4DF6" w:rsidP="0096106A">
            <w:r>
              <w:t>Udviklingen i antallet af passagerer i Karup Lufthavn har de seneste år varieret meget. Sti</w:t>
            </w:r>
            <w:r>
              <w:t>g</w:t>
            </w:r>
            <w:r>
              <w:t xml:space="preserve">ningen fra 2009 til 2010 skyldes, at </w:t>
            </w:r>
            <w:proofErr w:type="spellStart"/>
            <w:r>
              <w:t>Cimber</w:t>
            </w:r>
            <w:proofErr w:type="spellEnd"/>
            <w:r>
              <w:t xml:space="preserve"> Sterling og </w:t>
            </w:r>
            <w:proofErr w:type="spellStart"/>
            <w:r>
              <w:t>Norwegian</w:t>
            </w:r>
            <w:proofErr w:type="spellEnd"/>
            <w:r>
              <w:t xml:space="preserve"> </w:t>
            </w:r>
            <w:proofErr w:type="spellStart"/>
            <w:r>
              <w:t>Airshuttle</w:t>
            </w:r>
            <w:proofErr w:type="spellEnd"/>
            <w:r>
              <w:t xml:space="preserve"> på daværende tidspunkt begge fløj fra Karup til København, og at prisniveauet på grund af konkurrencen dermed faldt. </w:t>
            </w:r>
          </w:p>
          <w:p w:rsidR="003B4DF6" w:rsidRDefault="003B4DF6" w:rsidP="0096106A">
            <w:pPr>
              <w:rPr>
                <w:szCs w:val="18"/>
              </w:rPr>
            </w:pPr>
            <w:r>
              <w:rPr>
                <w:szCs w:val="18"/>
              </w:rPr>
              <w:br/>
              <w:t>Passagertal: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850"/>
              <w:gridCol w:w="992"/>
              <w:gridCol w:w="851"/>
              <w:gridCol w:w="850"/>
              <w:gridCol w:w="993"/>
              <w:gridCol w:w="992"/>
              <w:gridCol w:w="992"/>
              <w:gridCol w:w="992"/>
            </w:tblGrid>
            <w:tr w:rsidR="003B4DF6" w:rsidRPr="00EF719C" w:rsidTr="0096106A">
              <w:tc>
                <w:tcPr>
                  <w:tcW w:w="988" w:type="dxa"/>
                </w:tcPr>
                <w:p w:rsidR="003B4DF6" w:rsidRPr="00EF719C" w:rsidRDefault="003B4DF6" w:rsidP="0096106A">
                  <w:pPr>
                    <w:jc w:val="right"/>
                    <w:rPr>
                      <w:b/>
                      <w:sz w:val="16"/>
                      <w:szCs w:val="18"/>
                    </w:rPr>
                  </w:pPr>
                </w:p>
              </w:tc>
              <w:tc>
                <w:tcPr>
                  <w:tcW w:w="850" w:type="dxa"/>
                </w:tcPr>
                <w:p w:rsidR="003B4DF6" w:rsidRPr="00EF719C" w:rsidRDefault="003B4DF6" w:rsidP="0096106A">
                  <w:pPr>
                    <w:jc w:val="right"/>
                    <w:rPr>
                      <w:b/>
                      <w:sz w:val="16"/>
                      <w:szCs w:val="18"/>
                    </w:rPr>
                  </w:pPr>
                  <w:r w:rsidRPr="00EF719C">
                    <w:rPr>
                      <w:b/>
                      <w:sz w:val="16"/>
                      <w:szCs w:val="18"/>
                    </w:rPr>
                    <w:t>2006</w:t>
                  </w:r>
                </w:p>
              </w:tc>
              <w:tc>
                <w:tcPr>
                  <w:tcW w:w="992" w:type="dxa"/>
                </w:tcPr>
                <w:p w:rsidR="003B4DF6" w:rsidRPr="00EF719C" w:rsidRDefault="003B4DF6" w:rsidP="0096106A">
                  <w:pPr>
                    <w:jc w:val="right"/>
                    <w:rPr>
                      <w:b/>
                      <w:sz w:val="16"/>
                      <w:szCs w:val="18"/>
                    </w:rPr>
                  </w:pPr>
                  <w:r w:rsidRPr="00EF719C">
                    <w:rPr>
                      <w:b/>
                      <w:sz w:val="16"/>
                      <w:szCs w:val="18"/>
                    </w:rPr>
                    <w:t>2007</w:t>
                  </w:r>
                </w:p>
              </w:tc>
              <w:tc>
                <w:tcPr>
                  <w:tcW w:w="851" w:type="dxa"/>
                </w:tcPr>
                <w:p w:rsidR="003B4DF6" w:rsidRPr="00EF719C" w:rsidRDefault="003B4DF6" w:rsidP="0096106A">
                  <w:pPr>
                    <w:jc w:val="right"/>
                    <w:rPr>
                      <w:b/>
                      <w:sz w:val="16"/>
                      <w:szCs w:val="18"/>
                    </w:rPr>
                  </w:pPr>
                  <w:r w:rsidRPr="00EF719C">
                    <w:rPr>
                      <w:b/>
                      <w:sz w:val="16"/>
                      <w:szCs w:val="18"/>
                    </w:rPr>
                    <w:t>2008</w:t>
                  </w:r>
                </w:p>
              </w:tc>
              <w:tc>
                <w:tcPr>
                  <w:tcW w:w="850" w:type="dxa"/>
                </w:tcPr>
                <w:p w:rsidR="003B4DF6" w:rsidRPr="00EF719C" w:rsidRDefault="003B4DF6" w:rsidP="0096106A">
                  <w:pPr>
                    <w:jc w:val="right"/>
                    <w:rPr>
                      <w:b/>
                      <w:sz w:val="16"/>
                      <w:szCs w:val="18"/>
                    </w:rPr>
                  </w:pPr>
                  <w:r w:rsidRPr="00EF719C">
                    <w:rPr>
                      <w:b/>
                      <w:sz w:val="16"/>
                      <w:szCs w:val="18"/>
                    </w:rPr>
                    <w:t>2009</w:t>
                  </w:r>
                </w:p>
              </w:tc>
              <w:tc>
                <w:tcPr>
                  <w:tcW w:w="993" w:type="dxa"/>
                </w:tcPr>
                <w:p w:rsidR="003B4DF6" w:rsidRPr="00EF719C" w:rsidRDefault="003B4DF6" w:rsidP="0096106A">
                  <w:pPr>
                    <w:jc w:val="right"/>
                    <w:rPr>
                      <w:b/>
                      <w:sz w:val="16"/>
                      <w:szCs w:val="18"/>
                    </w:rPr>
                  </w:pPr>
                  <w:r w:rsidRPr="00EF719C">
                    <w:rPr>
                      <w:b/>
                      <w:sz w:val="16"/>
                      <w:szCs w:val="18"/>
                    </w:rPr>
                    <w:t>2010</w:t>
                  </w:r>
                </w:p>
              </w:tc>
              <w:tc>
                <w:tcPr>
                  <w:tcW w:w="992" w:type="dxa"/>
                </w:tcPr>
                <w:p w:rsidR="003B4DF6" w:rsidRPr="00EF719C" w:rsidRDefault="003B4DF6" w:rsidP="0096106A">
                  <w:pPr>
                    <w:jc w:val="right"/>
                    <w:rPr>
                      <w:b/>
                      <w:sz w:val="16"/>
                      <w:szCs w:val="18"/>
                    </w:rPr>
                  </w:pPr>
                  <w:r w:rsidRPr="00EF719C">
                    <w:rPr>
                      <w:b/>
                      <w:sz w:val="16"/>
                      <w:szCs w:val="18"/>
                    </w:rPr>
                    <w:t>2011</w:t>
                  </w:r>
                </w:p>
              </w:tc>
              <w:tc>
                <w:tcPr>
                  <w:tcW w:w="992" w:type="dxa"/>
                </w:tcPr>
                <w:p w:rsidR="003B4DF6" w:rsidRPr="00EF719C" w:rsidRDefault="003B4DF6" w:rsidP="0096106A">
                  <w:pPr>
                    <w:jc w:val="right"/>
                    <w:rPr>
                      <w:b/>
                      <w:i/>
                      <w:sz w:val="16"/>
                      <w:szCs w:val="18"/>
                    </w:rPr>
                  </w:pPr>
                  <w:r w:rsidRPr="00EF719C">
                    <w:rPr>
                      <w:b/>
                      <w:i/>
                      <w:sz w:val="16"/>
                      <w:szCs w:val="18"/>
                    </w:rPr>
                    <w:t>2012</w:t>
                  </w:r>
                </w:p>
              </w:tc>
              <w:tc>
                <w:tcPr>
                  <w:tcW w:w="992" w:type="dxa"/>
                </w:tcPr>
                <w:p w:rsidR="003B4DF6" w:rsidRPr="00EF719C" w:rsidRDefault="003B4DF6" w:rsidP="0096106A">
                  <w:pPr>
                    <w:jc w:val="right"/>
                    <w:rPr>
                      <w:b/>
                      <w:i/>
                      <w:sz w:val="16"/>
                      <w:szCs w:val="18"/>
                    </w:rPr>
                  </w:pPr>
                  <w:r w:rsidRPr="00EF719C">
                    <w:rPr>
                      <w:b/>
                      <w:i/>
                      <w:sz w:val="16"/>
                      <w:szCs w:val="18"/>
                    </w:rPr>
                    <w:t>2013</w:t>
                  </w:r>
                </w:p>
              </w:tc>
            </w:tr>
            <w:tr w:rsidR="003B4DF6" w:rsidRPr="00EF719C" w:rsidTr="0096106A">
              <w:tc>
                <w:tcPr>
                  <w:tcW w:w="988" w:type="dxa"/>
                </w:tcPr>
                <w:p w:rsidR="003B4DF6" w:rsidRPr="00EF719C" w:rsidRDefault="003B4DF6" w:rsidP="0096106A">
                  <w:pPr>
                    <w:rPr>
                      <w:sz w:val="16"/>
                      <w:szCs w:val="18"/>
                    </w:rPr>
                  </w:pPr>
                  <w:r w:rsidRPr="00EF719C">
                    <w:rPr>
                      <w:sz w:val="16"/>
                      <w:szCs w:val="18"/>
                    </w:rPr>
                    <w:t>Afgåe</w:t>
                  </w:r>
                  <w:r w:rsidRPr="00EF719C">
                    <w:rPr>
                      <w:sz w:val="16"/>
                      <w:szCs w:val="18"/>
                    </w:rPr>
                    <w:t>n</w:t>
                  </w:r>
                  <w:r w:rsidRPr="00EF719C">
                    <w:rPr>
                      <w:sz w:val="16"/>
                      <w:szCs w:val="18"/>
                    </w:rPr>
                    <w:t>de</w:t>
                  </w:r>
                </w:p>
              </w:tc>
              <w:tc>
                <w:tcPr>
                  <w:tcW w:w="850" w:type="dxa"/>
                </w:tcPr>
                <w:p w:rsidR="003B4DF6" w:rsidRPr="00EF719C" w:rsidRDefault="003B4DF6" w:rsidP="0096106A">
                  <w:pPr>
                    <w:jc w:val="right"/>
                    <w:rPr>
                      <w:sz w:val="16"/>
                      <w:szCs w:val="18"/>
                    </w:rPr>
                  </w:pPr>
                  <w:r w:rsidRPr="00EF719C">
                    <w:rPr>
                      <w:sz w:val="16"/>
                      <w:szCs w:val="18"/>
                    </w:rPr>
                    <w:t>99.098</w:t>
                  </w:r>
                </w:p>
              </w:tc>
              <w:tc>
                <w:tcPr>
                  <w:tcW w:w="992" w:type="dxa"/>
                </w:tcPr>
                <w:p w:rsidR="003B4DF6" w:rsidRPr="00EF719C" w:rsidRDefault="003B4DF6" w:rsidP="0096106A">
                  <w:pPr>
                    <w:jc w:val="right"/>
                    <w:rPr>
                      <w:sz w:val="16"/>
                      <w:szCs w:val="18"/>
                    </w:rPr>
                  </w:pPr>
                  <w:r w:rsidRPr="00EF719C">
                    <w:rPr>
                      <w:sz w:val="16"/>
                      <w:szCs w:val="18"/>
                    </w:rPr>
                    <w:t>103.480</w:t>
                  </w:r>
                </w:p>
              </w:tc>
              <w:tc>
                <w:tcPr>
                  <w:tcW w:w="851" w:type="dxa"/>
                </w:tcPr>
                <w:p w:rsidR="003B4DF6" w:rsidRPr="00EF719C" w:rsidRDefault="003B4DF6" w:rsidP="0096106A">
                  <w:pPr>
                    <w:jc w:val="right"/>
                    <w:rPr>
                      <w:sz w:val="16"/>
                      <w:szCs w:val="18"/>
                    </w:rPr>
                  </w:pPr>
                  <w:r w:rsidRPr="00EF719C">
                    <w:rPr>
                      <w:sz w:val="16"/>
                      <w:szCs w:val="18"/>
                    </w:rPr>
                    <w:t>93.886</w:t>
                  </w:r>
                </w:p>
              </w:tc>
              <w:tc>
                <w:tcPr>
                  <w:tcW w:w="850" w:type="dxa"/>
                </w:tcPr>
                <w:p w:rsidR="003B4DF6" w:rsidRPr="00EF719C" w:rsidRDefault="003B4DF6" w:rsidP="0096106A">
                  <w:pPr>
                    <w:jc w:val="right"/>
                    <w:rPr>
                      <w:sz w:val="16"/>
                      <w:szCs w:val="18"/>
                    </w:rPr>
                  </w:pPr>
                  <w:r w:rsidRPr="00EF719C">
                    <w:rPr>
                      <w:sz w:val="16"/>
                      <w:szCs w:val="18"/>
                    </w:rPr>
                    <w:t>78.286</w:t>
                  </w:r>
                </w:p>
              </w:tc>
              <w:tc>
                <w:tcPr>
                  <w:tcW w:w="993" w:type="dxa"/>
                </w:tcPr>
                <w:p w:rsidR="003B4DF6" w:rsidRPr="00EF719C" w:rsidRDefault="003B4DF6" w:rsidP="0096106A">
                  <w:pPr>
                    <w:jc w:val="right"/>
                    <w:rPr>
                      <w:sz w:val="16"/>
                      <w:szCs w:val="18"/>
                    </w:rPr>
                  </w:pPr>
                  <w:r w:rsidRPr="00EF719C">
                    <w:rPr>
                      <w:sz w:val="16"/>
                      <w:szCs w:val="18"/>
                    </w:rPr>
                    <w:t>150.975</w:t>
                  </w:r>
                </w:p>
              </w:tc>
              <w:tc>
                <w:tcPr>
                  <w:tcW w:w="992" w:type="dxa"/>
                </w:tcPr>
                <w:p w:rsidR="003B4DF6" w:rsidRPr="00EF719C" w:rsidRDefault="003B4DF6" w:rsidP="0096106A">
                  <w:pPr>
                    <w:jc w:val="right"/>
                    <w:rPr>
                      <w:sz w:val="16"/>
                      <w:szCs w:val="18"/>
                    </w:rPr>
                  </w:pPr>
                  <w:r w:rsidRPr="00EF719C">
                    <w:rPr>
                      <w:sz w:val="16"/>
                      <w:szCs w:val="18"/>
                    </w:rPr>
                    <w:t>138.895</w:t>
                  </w:r>
                </w:p>
              </w:tc>
              <w:tc>
                <w:tcPr>
                  <w:tcW w:w="992" w:type="dxa"/>
                </w:tcPr>
                <w:p w:rsidR="003B4DF6" w:rsidRPr="00EF719C" w:rsidRDefault="003B4DF6" w:rsidP="0096106A">
                  <w:pPr>
                    <w:jc w:val="right"/>
                    <w:rPr>
                      <w:i/>
                      <w:sz w:val="16"/>
                      <w:szCs w:val="18"/>
                    </w:rPr>
                  </w:pPr>
                  <w:r>
                    <w:rPr>
                      <w:i/>
                      <w:sz w:val="16"/>
                      <w:szCs w:val="18"/>
                    </w:rPr>
                    <w:t>85.000</w:t>
                  </w:r>
                </w:p>
              </w:tc>
              <w:tc>
                <w:tcPr>
                  <w:tcW w:w="992" w:type="dxa"/>
                </w:tcPr>
                <w:p w:rsidR="003B4DF6" w:rsidRPr="00EF719C" w:rsidRDefault="003B4DF6" w:rsidP="0096106A">
                  <w:pPr>
                    <w:jc w:val="right"/>
                    <w:rPr>
                      <w:i/>
                      <w:sz w:val="16"/>
                      <w:szCs w:val="18"/>
                    </w:rPr>
                  </w:pPr>
                  <w:r>
                    <w:rPr>
                      <w:i/>
                      <w:sz w:val="16"/>
                      <w:szCs w:val="18"/>
                    </w:rPr>
                    <w:t>98.000</w:t>
                  </w:r>
                </w:p>
              </w:tc>
            </w:tr>
            <w:tr w:rsidR="003B4DF6" w:rsidRPr="00EF719C" w:rsidTr="0096106A">
              <w:tc>
                <w:tcPr>
                  <w:tcW w:w="988" w:type="dxa"/>
                </w:tcPr>
                <w:p w:rsidR="003B4DF6" w:rsidRPr="00EF719C" w:rsidRDefault="003B4DF6" w:rsidP="0096106A">
                  <w:pPr>
                    <w:rPr>
                      <w:sz w:val="16"/>
                      <w:szCs w:val="18"/>
                    </w:rPr>
                  </w:pPr>
                  <w:r w:rsidRPr="00EF719C">
                    <w:rPr>
                      <w:sz w:val="16"/>
                      <w:szCs w:val="18"/>
                    </w:rPr>
                    <w:t>Cha</w:t>
                  </w:r>
                  <w:r w:rsidRPr="00EF719C">
                    <w:rPr>
                      <w:sz w:val="16"/>
                      <w:szCs w:val="18"/>
                    </w:rPr>
                    <w:t>r</w:t>
                  </w:r>
                  <w:r w:rsidRPr="00EF719C">
                    <w:rPr>
                      <w:sz w:val="16"/>
                      <w:szCs w:val="18"/>
                    </w:rPr>
                    <w:t>ter/Taxi</w:t>
                  </w:r>
                </w:p>
              </w:tc>
              <w:tc>
                <w:tcPr>
                  <w:tcW w:w="850" w:type="dxa"/>
                </w:tcPr>
                <w:p w:rsidR="003B4DF6" w:rsidRPr="00EF719C" w:rsidRDefault="003B4DF6" w:rsidP="0096106A">
                  <w:pPr>
                    <w:jc w:val="right"/>
                    <w:rPr>
                      <w:sz w:val="16"/>
                      <w:szCs w:val="18"/>
                    </w:rPr>
                  </w:pPr>
                  <w:r w:rsidRPr="00EF719C">
                    <w:rPr>
                      <w:sz w:val="16"/>
                      <w:szCs w:val="18"/>
                    </w:rPr>
                    <w:t>3.895</w:t>
                  </w:r>
                </w:p>
              </w:tc>
              <w:tc>
                <w:tcPr>
                  <w:tcW w:w="992" w:type="dxa"/>
                </w:tcPr>
                <w:p w:rsidR="003B4DF6" w:rsidRPr="00EF719C" w:rsidRDefault="003B4DF6" w:rsidP="0096106A">
                  <w:pPr>
                    <w:jc w:val="right"/>
                    <w:rPr>
                      <w:sz w:val="16"/>
                      <w:szCs w:val="18"/>
                    </w:rPr>
                  </w:pPr>
                  <w:r w:rsidRPr="00EF719C">
                    <w:rPr>
                      <w:sz w:val="16"/>
                      <w:szCs w:val="18"/>
                    </w:rPr>
                    <w:t>4.362</w:t>
                  </w:r>
                </w:p>
              </w:tc>
              <w:tc>
                <w:tcPr>
                  <w:tcW w:w="851" w:type="dxa"/>
                </w:tcPr>
                <w:p w:rsidR="003B4DF6" w:rsidRPr="00EF719C" w:rsidRDefault="003B4DF6" w:rsidP="0096106A">
                  <w:pPr>
                    <w:jc w:val="right"/>
                    <w:rPr>
                      <w:sz w:val="16"/>
                      <w:szCs w:val="18"/>
                    </w:rPr>
                  </w:pPr>
                  <w:r w:rsidRPr="00EF719C">
                    <w:rPr>
                      <w:sz w:val="16"/>
                      <w:szCs w:val="18"/>
                    </w:rPr>
                    <w:t>4.897</w:t>
                  </w:r>
                </w:p>
              </w:tc>
              <w:tc>
                <w:tcPr>
                  <w:tcW w:w="850" w:type="dxa"/>
                </w:tcPr>
                <w:p w:rsidR="003B4DF6" w:rsidRPr="00EF719C" w:rsidRDefault="003B4DF6" w:rsidP="0096106A">
                  <w:pPr>
                    <w:jc w:val="right"/>
                    <w:rPr>
                      <w:sz w:val="16"/>
                      <w:szCs w:val="18"/>
                    </w:rPr>
                  </w:pPr>
                  <w:r w:rsidRPr="00EF719C">
                    <w:rPr>
                      <w:sz w:val="16"/>
                      <w:szCs w:val="18"/>
                    </w:rPr>
                    <w:t>3.820</w:t>
                  </w:r>
                </w:p>
              </w:tc>
              <w:tc>
                <w:tcPr>
                  <w:tcW w:w="993" w:type="dxa"/>
                </w:tcPr>
                <w:p w:rsidR="003B4DF6" w:rsidRPr="00EF719C" w:rsidRDefault="003B4DF6" w:rsidP="0096106A">
                  <w:pPr>
                    <w:jc w:val="right"/>
                    <w:rPr>
                      <w:sz w:val="16"/>
                      <w:szCs w:val="18"/>
                    </w:rPr>
                  </w:pPr>
                  <w:r w:rsidRPr="00EF719C">
                    <w:rPr>
                      <w:sz w:val="16"/>
                      <w:szCs w:val="18"/>
                    </w:rPr>
                    <w:t>3210</w:t>
                  </w:r>
                </w:p>
              </w:tc>
              <w:tc>
                <w:tcPr>
                  <w:tcW w:w="992" w:type="dxa"/>
                </w:tcPr>
                <w:p w:rsidR="003B4DF6" w:rsidRPr="00EF719C" w:rsidRDefault="003B4DF6" w:rsidP="0096106A">
                  <w:pPr>
                    <w:jc w:val="right"/>
                    <w:rPr>
                      <w:sz w:val="16"/>
                      <w:szCs w:val="18"/>
                    </w:rPr>
                  </w:pPr>
                  <w:r w:rsidRPr="00EF719C">
                    <w:rPr>
                      <w:sz w:val="16"/>
                      <w:szCs w:val="18"/>
                    </w:rPr>
                    <w:t>3.896</w:t>
                  </w:r>
                </w:p>
              </w:tc>
              <w:tc>
                <w:tcPr>
                  <w:tcW w:w="992" w:type="dxa"/>
                </w:tcPr>
                <w:p w:rsidR="003B4DF6" w:rsidRPr="00EF719C" w:rsidRDefault="003B4DF6" w:rsidP="0096106A">
                  <w:pPr>
                    <w:jc w:val="right"/>
                    <w:rPr>
                      <w:i/>
                      <w:sz w:val="16"/>
                      <w:szCs w:val="18"/>
                    </w:rPr>
                  </w:pPr>
                  <w:r>
                    <w:rPr>
                      <w:i/>
                      <w:sz w:val="16"/>
                      <w:szCs w:val="18"/>
                    </w:rPr>
                    <w:t>3.000</w:t>
                  </w:r>
                </w:p>
              </w:tc>
              <w:tc>
                <w:tcPr>
                  <w:tcW w:w="992" w:type="dxa"/>
                </w:tcPr>
                <w:p w:rsidR="003B4DF6" w:rsidRPr="00EF719C" w:rsidRDefault="003B4DF6" w:rsidP="0096106A">
                  <w:pPr>
                    <w:jc w:val="right"/>
                    <w:rPr>
                      <w:i/>
                      <w:sz w:val="16"/>
                      <w:szCs w:val="18"/>
                    </w:rPr>
                  </w:pPr>
                  <w:r>
                    <w:rPr>
                      <w:i/>
                      <w:sz w:val="16"/>
                      <w:szCs w:val="18"/>
                    </w:rPr>
                    <w:t>3.000</w:t>
                  </w:r>
                </w:p>
              </w:tc>
            </w:tr>
          </w:tbl>
          <w:p w:rsidR="003B4DF6" w:rsidRDefault="003B4DF6" w:rsidP="0096106A">
            <w:pPr>
              <w:rPr>
                <w:szCs w:val="18"/>
              </w:rPr>
            </w:pPr>
          </w:p>
          <w:p w:rsidR="003B4DF6" w:rsidRDefault="003B4DF6" w:rsidP="0096106A">
            <w:pPr>
              <w:keepNext/>
            </w:pPr>
            <w:r>
              <w:t>Som det fremgår af de estimerede passagertal for 2012 og 2013 så sker der et bet</w:t>
            </w:r>
            <w:r>
              <w:t>y</w:t>
            </w:r>
            <w:r>
              <w:t xml:space="preserve">deligt fald i antallet af passagerer. </w:t>
            </w:r>
          </w:p>
          <w:p w:rsidR="003B4DF6" w:rsidRDefault="003B4DF6" w:rsidP="0096106A">
            <w:pPr>
              <w:keepNext/>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850"/>
              <w:gridCol w:w="992"/>
              <w:gridCol w:w="851"/>
              <w:gridCol w:w="850"/>
              <w:gridCol w:w="993"/>
              <w:gridCol w:w="992"/>
              <w:gridCol w:w="992"/>
              <w:gridCol w:w="992"/>
            </w:tblGrid>
            <w:tr w:rsidR="003B4DF6" w:rsidRPr="00EC4591" w:rsidTr="0096106A">
              <w:tc>
                <w:tcPr>
                  <w:tcW w:w="988" w:type="dxa"/>
                </w:tcPr>
                <w:p w:rsidR="003B4DF6" w:rsidRPr="00EC4591" w:rsidRDefault="003B4DF6" w:rsidP="0096106A">
                  <w:pPr>
                    <w:jc w:val="right"/>
                    <w:rPr>
                      <w:b/>
                      <w:sz w:val="16"/>
                      <w:szCs w:val="18"/>
                    </w:rPr>
                  </w:pPr>
                </w:p>
              </w:tc>
              <w:tc>
                <w:tcPr>
                  <w:tcW w:w="850" w:type="dxa"/>
                </w:tcPr>
                <w:p w:rsidR="003B4DF6" w:rsidRPr="00EC4591" w:rsidRDefault="003B4DF6" w:rsidP="0096106A">
                  <w:pPr>
                    <w:jc w:val="right"/>
                    <w:rPr>
                      <w:b/>
                      <w:sz w:val="16"/>
                      <w:szCs w:val="18"/>
                    </w:rPr>
                  </w:pPr>
                  <w:r w:rsidRPr="00EC4591">
                    <w:rPr>
                      <w:b/>
                      <w:sz w:val="16"/>
                      <w:szCs w:val="18"/>
                    </w:rPr>
                    <w:t>2006</w:t>
                  </w:r>
                </w:p>
              </w:tc>
              <w:tc>
                <w:tcPr>
                  <w:tcW w:w="992" w:type="dxa"/>
                </w:tcPr>
                <w:p w:rsidR="003B4DF6" w:rsidRPr="00EC4591" w:rsidRDefault="003B4DF6" w:rsidP="0096106A">
                  <w:pPr>
                    <w:jc w:val="right"/>
                    <w:rPr>
                      <w:b/>
                      <w:sz w:val="16"/>
                      <w:szCs w:val="18"/>
                    </w:rPr>
                  </w:pPr>
                  <w:r w:rsidRPr="00EC4591">
                    <w:rPr>
                      <w:b/>
                      <w:sz w:val="16"/>
                      <w:szCs w:val="18"/>
                    </w:rPr>
                    <w:t>2007</w:t>
                  </w:r>
                </w:p>
              </w:tc>
              <w:tc>
                <w:tcPr>
                  <w:tcW w:w="851" w:type="dxa"/>
                </w:tcPr>
                <w:p w:rsidR="003B4DF6" w:rsidRPr="00EC4591" w:rsidRDefault="003B4DF6" w:rsidP="0096106A">
                  <w:pPr>
                    <w:jc w:val="right"/>
                    <w:rPr>
                      <w:b/>
                      <w:sz w:val="16"/>
                      <w:szCs w:val="18"/>
                    </w:rPr>
                  </w:pPr>
                  <w:r w:rsidRPr="00EC4591">
                    <w:rPr>
                      <w:b/>
                      <w:sz w:val="16"/>
                      <w:szCs w:val="18"/>
                    </w:rPr>
                    <w:t>2008</w:t>
                  </w:r>
                </w:p>
              </w:tc>
              <w:tc>
                <w:tcPr>
                  <w:tcW w:w="850" w:type="dxa"/>
                </w:tcPr>
                <w:p w:rsidR="003B4DF6" w:rsidRPr="00EC4591" w:rsidRDefault="003B4DF6" w:rsidP="0096106A">
                  <w:pPr>
                    <w:jc w:val="right"/>
                    <w:rPr>
                      <w:b/>
                      <w:sz w:val="16"/>
                      <w:szCs w:val="18"/>
                    </w:rPr>
                  </w:pPr>
                  <w:r w:rsidRPr="00EC4591">
                    <w:rPr>
                      <w:b/>
                      <w:sz w:val="16"/>
                      <w:szCs w:val="18"/>
                    </w:rPr>
                    <w:t>2009</w:t>
                  </w:r>
                </w:p>
              </w:tc>
              <w:tc>
                <w:tcPr>
                  <w:tcW w:w="993" w:type="dxa"/>
                </w:tcPr>
                <w:p w:rsidR="003B4DF6" w:rsidRPr="00EC4591" w:rsidRDefault="003B4DF6" w:rsidP="0096106A">
                  <w:pPr>
                    <w:jc w:val="right"/>
                    <w:rPr>
                      <w:b/>
                      <w:sz w:val="16"/>
                      <w:szCs w:val="18"/>
                    </w:rPr>
                  </w:pPr>
                  <w:r w:rsidRPr="00EC4591">
                    <w:rPr>
                      <w:b/>
                      <w:sz w:val="16"/>
                      <w:szCs w:val="18"/>
                    </w:rPr>
                    <w:t>2010</w:t>
                  </w:r>
                </w:p>
              </w:tc>
              <w:tc>
                <w:tcPr>
                  <w:tcW w:w="992" w:type="dxa"/>
                </w:tcPr>
                <w:p w:rsidR="003B4DF6" w:rsidRPr="00EC4591" w:rsidRDefault="003B4DF6" w:rsidP="0096106A">
                  <w:pPr>
                    <w:jc w:val="right"/>
                    <w:rPr>
                      <w:b/>
                      <w:sz w:val="16"/>
                      <w:szCs w:val="18"/>
                    </w:rPr>
                  </w:pPr>
                  <w:r w:rsidRPr="00EC4591">
                    <w:rPr>
                      <w:b/>
                      <w:sz w:val="16"/>
                      <w:szCs w:val="18"/>
                    </w:rPr>
                    <w:t>2011</w:t>
                  </w:r>
                </w:p>
              </w:tc>
              <w:tc>
                <w:tcPr>
                  <w:tcW w:w="992" w:type="dxa"/>
                </w:tcPr>
                <w:p w:rsidR="003B4DF6" w:rsidRPr="00EC4591" w:rsidRDefault="003B4DF6" w:rsidP="0096106A">
                  <w:pPr>
                    <w:jc w:val="right"/>
                    <w:rPr>
                      <w:b/>
                      <w:i/>
                      <w:sz w:val="16"/>
                      <w:szCs w:val="18"/>
                    </w:rPr>
                  </w:pPr>
                  <w:r w:rsidRPr="00EC4591">
                    <w:rPr>
                      <w:b/>
                      <w:i/>
                      <w:sz w:val="16"/>
                      <w:szCs w:val="18"/>
                    </w:rPr>
                    <w:t>2012</w:t>
                  </w:r>
                </w:p>
              </w:tc>
              <w:tc>
                <w:tcPr>
                  <w:tcW w:w="992" w:type="dxa"/>
                </w:tcPr>
                <w:p w:rsidR="003B4DF6" w:rsidRPr="00EC4591" w:rsidRDefault="003B4DF6" w:rsidP="0096106A">
                  <w:pPr>
                    <w:jc w:val="right"/>
                    <w:rPr>
                      <w:b/>
                      <w:i/>
                      <w:sz w:val="16"/>
                      <w:szCs w:val="18"/>
                    </w:rPr>
                  </w:pPr>
                  <w:r w:rsidRPr="00EC4591">
                    <w:rPr>
                      <w:b/>
                      <w:i/>
                      <w:sz w:val="16"/>
                      <w:szCs w:val="18"/>
                    </w:rPr>
                    <w:t>2013</w:t>
                  </w:r>
                </w:p>
              </w:tc>
            </w:tr>
            <w:tr w:rsidR="003B4DF6" w:rsidRPr="00EC4591" w:rsidTr="0096106A">
              <w:tc>
                <w:tcPr>
                  <w:tcW w:w="988" w:type="dxa"/>
                </w:tcPr>
                <w:p w:rsidR="003B4DF6" w:rsidRPr="00EC4591" w:rsidRDefault="003B4DF6" w:rsidP="0096106A">
                  <w:pPr>
                    <w:rPr>
                      <w:sz w:val="16"/>
                    </w:rPr>
                  </w:pPr>
                  <w:r w:rsidRPr="00EC4591">
                    <w:rPr>
                      <w:sz w:val="16"/>
                    </w:rPr>
                    <w:t>Årets r</w:t>
                  </w:r>
                  <w:r w:rsidRPr="00EC4591">
                    <w:rPr>
                      <w:sz w:val="16"/>
                    </w:rPr>
                    <w:t>e</w:t>
                  </w:r>
                  <w:r w:rsidRPr="00EC4591">
                    <w:rPr>
                      <w:sz w:val="16"/>
                    </w:rPr>
                    <w:t>sultat</w:t>
                  </w:r>
                </w:p>
              </w:tc>
              <w:tc>
                <w:tcPr>
                  <w:tcW w:w="850" w:type="dxa"/>
                </w:tcPr>
                <w:p w:rsidR="003B4DF6" w:rsidRPr="00EC4591" w:rsidRDefault="003B4DF6" w:rsidP="0096106A">
                  <w:pPr>
                    <w:jc w:val="right"/>
                    <w:rPr>
                      <w:sz w:val="16"/>
                    </w:rPr>
                  </w:pPr>
                  <w:r w:rsidRPr="00EC4591">
                    <w:rPr>
                      <w:sz w:val="16"/>
                    </w:rPr>
                    <w:t>776</w:t>
                  </w:r>
                </w:p>
              </w:tc>
              <w:tc>
                <w:tcPr>
                  <w:tcW w:w="992" w:type="dxa"/>
                </w:tcPr>
                <w:p w:rsidR="003B4DF6" w:rsidRPr="00EC4591" w:rsidRDefault="003B4DF6" w:rsidP="0096106A">
                  <w:pPr>
                    <w:jc w:val="right"/>
                    <w:rPr>
                      <w:sz w:val="16"/>
                    </w:rPr>
                  </w:pPr>
                  <w:r w:rsidRPr="00EC4591">
                    <w:rPr>
                      <w:sz w:val="16"/>
                    </w:rPr>
                    <w:t>651</w:t>
                  </w:r>
                </w:p>
              </w:tc>
              <w:tc>
                <w:tcPr>
                  <w:tcW w:w="851" w:type="dxa"/>
                </w:tcPr>
                <w:p w:rsidR="003B4DF6" w:rsidRPr="00EC4591" w:rsidRDefault="003B4DF6" w:rsidP="0096106A">
                  <w:pPr>
                    <w:jc w:val="right"/>
                    <w:rPr>
                      <w:sz w:val="16"/>
                    </w:rPr>
                  </w:pPr>
                  <w:r w:rsidRPr="00EC4591">
                    <w:rPr>
                      <w:sz w:val="16"/>
                    </w:rPr>
                    <w:t>470</w:t>
                  </w:r>
                </w:p>
              </w:tc>
              <w:tc>
                <w:tcPr>
                  <w:tcW w:w="850" w:type="dxa"/>
                </w:tcPr>
                <w:p w:rsidR="003B4DF6" w:rsidRPr="00EC4591" w:rsidRDefault="003B4DF6" w:rsidP="0096106A">
                  <w:pPr>
                    <w:jc w:val="right"/>
                    <w:rPr>
                      <w:sz w:val="16"/>
                    </w:rPr>
                  </w:pPr>
                  <w:r w:rsidRPr="00EC4591">
                    <w:rPr>
                      <w:sz w:val="16"/>
                    </w:rPr>
                    <w:t>-1.273</w:t>
                  </w:r>
                </w:p>
              </w:tc>
              <w:tc>
                <w:tcPr>
                  <w:tcW w:w="993" w:type="dxa"/>
                </w:tcPr>
                <w:p w:rsidR="003B4DF6" w:rsidRPr="00EC4591" w:rsidRDefault="003B4DF6" w:rsidP="0096106A">
                  <w:pPr>
                    <w:jc w:val="right"/>
                    <w:rPr>
                      <w:sz w:val="16"/>
                    </w:rPr>
                  </w:pPr>
                  <w:r w:rsidRPr="00EC4591">
                    <w:rPr>
                      <w:sz w:val="16"/>
                    </w:rPr>
                    <w:t>3.703</w:t>
                  </w:r>
                </w:p>
              </w:tc>
              <w:tc>
                <w:tcPr>
                  <w:tcW w:w="992" w:type="dxa"/>
                </w:tcPr>
                <w:p w:rsidR="003B4DF6" w:rsidRPr="00EC4591" w:rsidRDefault="003B4DF6" w:rsidP="0096106A">
                  <w:pPr>
                    <w:jc w:val="right"/>
                    <w:rPr>
                      <w:sz w:val="16"/>
                    </w:rPr>
                  </w:pPr>
                  <w:r w:rsidRPr="00EC4591">
                    <w:rPr>
                      <w:sz w:val="16"/>
                    </w:rPr>
                    <w:t>-281</w:t>
                  </w:r>
                </w:p>
              </w:tc>
              <w:tc>
                <w:tcPr>
                  <w:tcW w:w="992" w:type="dxa"/>
                </w:tcPr>
                <w:p w:rsidR="003B4DF6" w:rsidRPr="00EC4591" w:rsidRDefault="003B4DF6" w:rsidP="0096106A">
                  <w:pPr>
                    <w:jc w:val="right"/>
                    <w:rPr>
                      <w:i/>
                      <w:sz w:val="16"/>
                    </w:rPr>
                  </w:pPr>
                  <w:r w:rsidRPr="00EC4591">
                    <w:rPr>
                      <w:i/>
                      <w:sz w:val="16"/>
                    </w:rPr>
                    <w:t>-2.723</w:t>
                  </w:r>
                </w:p>
              </w:tc>
              <w:tc>
                <w:tcPr>
                  <w:tcW w:w="992" w:type="dxa"/>
                </w:tcPr>
                <w:p w:rsidR="003B4DF6" w:rsidRPr="00EC4591" w:rsidRDefault="003B4DF6" w:rsidP="0096106A">
                  <w:pPr>
                    <w:jc w:val="right"/>
                    <w:rPr>
                      <w:i/>
                      <w:sz w:val="16"/>
                    </w:rPr>
                  </w:pPr>
                  <w:r w:rsidRPr="00EC4591">
                    <w:rPr>
                      <w:i/>
                      <w:sz w:val="16"/>
                    </w:rPr>
                    <w:t>-100</w:t>
                  </w:r>
                </w:p>
              </w:tc>
            </w:tr>
            <w:tr w:rsidR="003B4DF6" w:rsidRPr="00EC4591" w:rsidTr="0096106A">
              <w:tc>
                <w:tcPr>
                  <w:tcW w:w="988" w:type="dxa"/>
                </w:tcPr>
                <w:p w:rsidR="003B4DF6" w:rsidRPr="00EC4591" w:rsidRDefault="003B4DF6" w:rsidP="0096106A">
                  <w:pPr>
                    <w:rPr>
                      <w:sz w:val="16"/>
                    </w:rPr>
                  </w:pPr>
                  <w:r w:rsidRPr="00EC4591">
                    <w:rPr>
                      <w:sz w:val="16"/>
                    </w:rPr>
                    <w:t>Egenk</w:t>
                  </w:r>
                  <w:r w:rsidRPr="00EC4591">
                    <w:rPr>
                      <w:sz w:val="16"/>
                    </w:rPr>
                    <w:t>a</w:t>
                  </w:r>
                  <w:r w:rsidRPr="00EC4591">
                    <w:rPr>
                      <w:sz w:val="16"/>
                    </w:rPr>
                    <w:t>pital</w:t>
                  </w:r>
                </w:p>
              </w:tc>
              <w:tc>
                <w:tcPr>
                  <w:tcW w:w="850" w:type="dxa"/>
                </w:tcPr>
                <w:p w:rsidR="003B4DF6" w:rsidRPr="00EC4591" w:rsidRDefault="003B4DF6" w:rsidP="0096106A">
                  <w:pPr>
                    <w:jc w:val="right"/>
                    <w:rPr>
                      <w:sz w:val="16"/>
                    </w:rPr>
                  </w:pPr>
                  <w:r w:rsidRPr="00EC4591">
                    <w:rPr>
                      <w:sz w:val="16"/>
                    </w:rPr>
                    <w:t>18.690</w:t>
                  </w:r>
                </w:p>
              </w:tc>
              <w:tc>
                <w:tcPr>
                  <w:tcW w:w="992" w:type="dxa"/>
                </w:tcPr>
                <w:p w:rsidR="003B4DF6" w:rsidRPr="00EC4591" w:rsidRDefault="003B4DF6" w:rsidP="0096106A">
                  <w:pPr>
                    <w:jc w:val="right"/>
                    <w:rPr>
                      <w:sz w:val="16"/>
                    </w:rPr>
                  </w:pPr>
                  <w:r w:rsidRPr="00EC4591">
                    <w:rPr>
                      <w:sz w:val="16"/>
                    </w:rPr>
                    <w:t>19.341</w:t>
                  </w:r>
                </w:p>
              </w:tc>
              <w:tc>
                <w:tcPr>
                  <w:tcW w:w="851" w:type="dxa"/>
                </w:tcPr>
                <w:p w:rsidR="003B4DF6" w:rsidRPr="00EC4591" w:rsidRDefault="003B4DF6" w:rsidP="0096106A">
                  <w:pPr>
                    <w:jc w:val="right"/>
                    <w:rPr>
                      <w:sz w:val="16"/>
                    </w:rPr>
                  </w:pPr>
                  <w:r w:rsidRPr="00EC4591">
                    <w:rPr>
                      <w:sz w:val="16"/>
                    </w:rPr>
                    <w:t>19.811</w:t>
                  </w:r>
                </w:p>
              </w:tc>
              <w:tc>
                <w:tcPr>
                  <w:tcW w:w="850" w:type="dxa"/>
                </w:tcPr>
                <w:p w:rsidR="003B4DF6" w:rsidRPr="00EC4591" w:rsidRDefault="003B4DF6" w:rsidP="0096106A">
                  <w:pPr>
                    <w:jc w:val="right"/>
                    <w:rPr>
                      <w:sz w:val="16"/>
                    </w:rPr>
                  </w:pPr>
                  <w:r w:rsidRPr="00EC4591">
                    <w:rPr>
                      <w:sz w:val="16"/>
                    </w:rPr>
                    <w:t>18.538</w:t>
                  </w:r>
                </w:p>
              </w:tc>
              <w:tc>
                <w:tcPr>
                  <w:tcW w:w="993" w:type="dxa"/>
                </w:tcPr>
                <w:p w:rsidR="003B4DF6" w:rsidRPr="00EC4591" w:rsidRDefault="003B4DF6" w:rsidP="0096106A">
                  <w:pPr>
                    <w:jc w:val="right"/>
                    <w:rPr>
                      <w:sz w:val="16"/>
                    </w:rPr>
                  </w:pPr>
                  <w:r w:rsidRPr="00EC4591">
                    <w:rPr>
                      <w:sz w:val="16"/>
                    </w:rPr>
                    <w:t>22.241</w:t>
                  </w:r>
                </w:p>
              </w:tc>
              <w:tc>
                <w:tcPr>
                  <w:tcW w:w="992" w:type="dxa"/>
                </w:tcPr>
                <w:p w:rsidR="003B4DF6" w:rsidRPr="00EC4591" w:rsidRDefault="003B4DF6" w:rsidP="0096106A">
                  <w:pPr>
                    <w:jc w:val="right"/>
                    <w:rPr>
                      <w:sz w:val="16"/>
                    </w:rPr>
                  </w:pPr>
                  <w:r w:rsidRPr="00EC4591">
                    <w:rPr>
                      <w:sz w:val="16"/>
                    </w:rPr>
                    <w:t>21.960</w:t>
                  </w:r>
                </w:p>
              </w:tc>
              <w:tc>
                <w:tcPr>
                  <w:tcW w:w="992" w:type="dxa"/>
                </w:tcPr>
                <w:p w:rsidR="003B4DF6" w:rsidRPr="00EC4591" w:rsidRDefault="003B4DF6" w:rsidP="0096106A">
                  <w:pPr>
                    <w:jc w:val="right"/>
                    <w:rPr>
                      <w:i/>
                      <w:sz w:val="16"/>
                    </w:rPr>
                  </w:pPr>
                  <w:r w:rsidRPr="00EC4591">
                    <w:rPr>
                      <w:rFonts w:eastAsia="Calibri"/>
                      <w:i/>
                      <w:sz w:val="16"/>
                    </w:rPr>
                    <w:t>19.237</w:t>
                  </w:r>
                </w:p>
              </w:tc>
              <w:tc>
                <w:tcPr>
                  <w:tcW w:w="992" w:type="dxa"/>
                </w:tcPr>
                <w:p w:rsidR="003B4DF6" w:rsidRPr="00EC4591" w:rsidRDefault="003B4DF6" w:rsidP="0096106A">
                  <w:pPr>
                    <w:jc w:val="right"/>
                    <w:rPr>
                      <w:i/>
                      <w:sz w:val="16"/>
                    </w:rPr>
                  </w:pPr>
                  <w:r w:rsidRPr="00EC4591">
                    <w:rPr>
                      <w:rFonts w:eastAsia="Calibri"/>
                      <w:i/>
                      <w:sz w:val="16"/>
                    </w:rPr>
                    <w:t>19.137</w:t>
                  </w:r>
                </w:p>
              </w:tc>
            </w:tr>
          </w:tbl>
          <w:p w:rsidR="003B4DF6" w:rsidRDefault="003B4DF6" w:rsidP="0096106A">
            <w:pPr>
              <w:keepNext/>
            </w:pPr>
          </w:p>
          <w:p w:rsidR="003B4DF6" w:rsidRDefault="003B4DF6" w:rsidP="0096106A">
            <w:pPr>
              <w:keepNext/>
            </w:pPr>
            <w:r>
              <w:t>Faldet i passagerantallet betyder, at Karup Lufthavn fo</w:t>
            </w:r>
            <w:r>
              <w:t>r</w:t>
            </w:r>
            <w:r>
              <w:t>venter et underskud på i alt 2,7 mio. kr. for 2012.</w:t>
            </w:r>
          </w:p>
          <w:p w:rsidR="003B4DF6" w:rsidRDefault="003B4DF6" w:rsidP="0096106A">
            <w:pPr>
              <w:keepNext/>
            </w:pPr>
          </w:p>
          <w:p w:rsidR="003B4DF6" w:rsidRDefault="003B4DF6" w:rsidP="0096106A">
            <w:pPr>
              <w:keepNext/>
            </w:pPr>
            <w:r>
              <w:t>Forretningsudvalget for Karup Lufthavn ønsker at Midtjylland fortsat skal have en indenrig</w:t>
            </w:r>
            <w:r>
              <w:t>s</w:t>
            </w:r>
            <w:r>
              <w:t>lufthavn, som kan sikre en hurtig og smidig transport til København og videre ud i verden.</w:t>
            </w:r>
          </w:p>
          <w:p w:rsidR="003B4DF6" w:rsidRDefault="003B4DF6" w:rsidP="0096106A">
            <w:pPr>
              <w:keepNext/>
            </w:pPr>
          </w:p>
          <w:p w:rsidR="003B4DF6" w:rsidRDefault="003B4DF6" w:rsidP="0096106A">
            <w:pPr>
              <w:keepNext/>
            </w:pPr>
            <w:r>
              <w:t>På baggrund heraf er der gennemført en markedsundersøgelse blandt lufthavnens kerneku</w:t>
            </w:r>
            <w:r>
              <w:t>n</w:t>
            </w:r>
            <w:r>
              <w:t xml:space="preserve">der, for at finde ud af, om der også er opbakning til en midtjysk lufthavn fra erhvervslivets side. </w:t>
            </w:r>
          </w:p>
          <w:p w:rsidR="003B4DF6" w:rsidRDefault="003B4DF6" w:rsidP="0096106A">
            <w:pPr>
              <w:keepNext/>
            </w:pPr>
          </w:p>
          <w:p w:rsidR="003B4DF6" w:rsidRDefault="003B4DF6" w:rsidP="0096106A">
            <w:r w:rsidRPr="009A22C3">
              <w:t>88 virksomheder og organisationer, som er superbrugere af Karup Lufthavn, er blevet</w:t>
            </w:r>
            <w:r>
              <w:t xml:space="preserve"> spurgt om Karup Lufthavns betydning, om frekvensen af flyvninger samt tidspunkterne for flyvni</w:t>
            </w:r>
            <w:r>
              <w:t>n</w:t>
            </w:r>
            <w:r>
              <w:t xml:space="preserve">ger. 54 virksomheder/ organisationer har besvaret </w:t>
            </w:r>
            <w:r>
              <w:lastRenderedPageBreak/>
              <w:t>spørgeskemaet.</w:t>
            </w:r>
          </w:p>
          <w:p w:rsidR="003B4DF6" w:rsidRDefault="003B4DF6" w:rsidP="0096106A"/>
          <w:p w:rsidR="003B4DF6" w:rsidRPr="009A22C3" w:rsidRDefault="003B4DF6" w:rsidP="0096106A">
            <w:r>
              <w:t>Brugerne ønsker fortsat at Karup Lufthavn eksisterer – den er vigtig for erhvervslivet. Den generelle kommentar har været, at der er behov for flere afgange fra Karup om morg</w:t>
            </w:r>
            <w:r>
              <w:t>e</w:t>
            </w:r>
            <w:r>
              <w:t>nen/tidlig formiddag og flere afgange fra København mod Karup om eftermi</w:t>
            </w:r>
            <w:r>
              <w:t>d</w:t>
            </w:r>
            <w:r>
              <w:t>dagen/aftenen. Der sker et fravalg af Karup Lufthavn på grund af denne manglende fleksibil</w:t>
            </w:r>
            <w:r>
              <w:t>i</w:t>
            </w:r>
            <w:r>
              <w:t xml:space="preserve">tet. </w:t>
            </w:r>
          </w:p>
          <w:p w:rsidR="003B4DF6" w:rsidRDefault="003B4DF6" w:rsidP="0096106A">
            <w:pPr>
              <w:keepNext/>
            </w:pPr>
          </w:p>
          <w:p w:rsidR="003B4DF6" w:rsidRDefault="003B4DF6" w:rsidP="0096106A">
            <w:pPr>
              <w:keepNext/>
            </w:pPr>
            <w:r>
              <w:t>Karup Lufthavn arbejder aktivt på at få flere flyvninger til/fra Karup, og er i løbende di</w:t>
            </w:r>
            <w:r>
              <w:t>a</w:t>
            </w:r>
            <w:r>
              <w:t>log med forskellige flyselskaber herom. Der er forskellige scenarier for, hvordan disse sonderi</w:t>
            </w:r>
            <w:r>
              <w:t>n</w:t>
            </w:r>
            <w:r>
              <w:t>ger kan ende: to flyselskaber kan beflyve ruten samtidig, der kan blive sat mindre fly ind på strækningen, som så flyver flere gange end de hidtidig 4 afgange etc. Målet er at øge fr</w:t>
            </w:r>
            <w:r>
              <w:t>e</w:t>
            </w:r>
            <w:r>
              <w:t>kvensen til 6-7 daglige flyvninger, som i højere grad dækker passagernes ønsker.</w:t>
            </w:r>
          </w:p>
          <w:p w:rsidR="003B4DF6" w:rsidRDefault="003B4DF6" w:rsidP="0096106A">
            <w:pPr>
              <w:keepNext/>
            </w:pPr>
          </w:p>
          <w:p w:rsidR="003B4DF6" w:rsidRDefault="003B4DF6" w:rsidP="0096106A">
            <w:pPr>
              <w:keepNext/>
            </w:pPr>
            <w:r>
              <w:t>For at gøre det mere attraktivt for flyselskaber at flyve ruten Karup-København er det luf</w:t>
            </w:r>
            <w:r>
              <w:t>t</w:t>
            </w:r>
            <w:r>
              <w:t>havnens vurdering, at det for en periode bliver nødvendigt at nedsætte taksterne over for flyse</w:t>
            </w:r>
            <w:r>
              <w:t>l</w:t>
            </w:r>
            <w:r>
              <w:t>skaberne. Hvis flere flyselskaber beflyver ruten vil disse skulle have de samme vilkår, og de</w:t>
            </w:r>
            <w:r>
              <w:t>r</w:t>
            </w:r>
            <w:r>
              <w:t>med også den samme takst for at sikre lige konkurrencevilkår.</w:t>
            </w:r>
          </w:p>
          <w:p w:rsidR="003B4DF6" w:rsidRDefault="003B4DF6" w:rsidP="0096106A">
            <w:pPr>
              <w:keepNext/>
            </w:pPr>
          </w:p>
          <w:p w:rsidR="003B4DF6" w:rsidRDefault="003B4DF6" w:rsidP="0096106A">
            <w:pPr>
              <w:keepNext/>
              <w:rPr>
                <w:rFonts w:cs="Arial"/>
              </w:rPr>
            </w:pPr>
            <w:r>
              <w:rPr>
                <w:rFonts w:cs="Arial"/>
              </w:rPr>
              <w:t>En nedsættelse af lufthavnstaksterne vil betyde et fald i indtægterne og dermed et øget u</w:t>
            </w:r>
            <w:r>
              <w:rPr>
                <w:rFonts w:cs="Arial"/>
              </w:rPr>
              <w:t>n</w:t>
            </w:r>
            <w:r>
              <w:rPr>
                <w:rFonts w:cs="Arial"/>
              </w:rPr>
              <w:t>derskud. Hertil skal bemærkes, at lufthavnens egenkapital står bundet i by</w:t>
            </w:r>
            <w:r>
              <w:rPr>
                <w:rFonts w:cs="Arial"/>
              </w:rPr>
              <w:t>g</w:t>
            </w:r>
            <w:r>
              <w:rPr>
                <w:rFonts w:cs="Arial"/>
              </w:rPr>
              <w:t>ninger.</w:t>
            </w:r>
          </w:p>
          <w:p w:rsidR="003B4DF6" w:rsidRDefault="003B4DF6" w:rsidP="0096106A">
            <w:pPr>
              <w:keepNext/>
              <w:rPr>
                <w:rFonts w:cs="Arial"/>
              </w:rPr>
            </w:pPr>
          </w:p>
          <w:p w:rsidR="003B4DF6" w:rsidRDefault="003B4DF6" w:rsidP="0096106A">
            <w:pPr>
              <w:keepNext/>
              <w:rPr>
                <w:rFonts w:cs="Arial"/>
              </w:rPr>
            </w:pPr>
            <w:r>
              <w:rPr>
                <w:rFonts w:cs="Arial"/>
              </w:rPr>
              <w:t>Når forretningsudvalget vurderer en række forskellige scenarier for de fremtidige flyvninger, så vu</w:t>
            </w:r>
            <w:r>
              <w:rPr>
                <w:rFonts w:cs="Arial"/>
              </w:rPr>
              <w:t>r</w:t>
            </w:r>
            <w:r>
              <w:rPr>
                <w:rFonts w:cs="Arial"/>
              </w:rPr>
              <w:t xml:space="preserve">deres det, at der er behov for en kapitaludvidelse fra </w:t>
            </w:r>
            <w:proofErr w:type="spellStart"/>
            <w:r>
              <w:rPr>
                <w:rFonts w:cs="Arial"/>
              </w:rPr>
              <w:t>ejerkommunerne</w:t>
            </w:r>
            <w:proofErr w:type="spellEnd"/>
            <w:r>
              <w:rPr>
                <w:rFonts w:cs="Arial"/>
              </w:rPr>
              <w:t xml:space="preserve"> på i alt 10 mio. kr. for at lufthavnen kan overleve – heraf skal halvdelen udbetales til Karup Lufthavn nu, mens de resterende 5 mio. kr. skal stilles i garanti af </w:t>
            </w:r>
            <w:proofErr w:type="spellStart"/>
            <w:r>
              <w:rPr>
                <w:rFonts w:cs="Arial"/>
              </w:rPr>
              <w:t>ejerkomm</w:t>
            </w:r>
            <w:r>
              <w:rPr>
                <w:rFonts w:cs="Arial"/>
              </w:rPr>
              <w:t>u</w:t>
            </w:r>
            <w:r>
              <w:rPr>
                <w:rFonts w:cs="Arial"/>
              </w:rPr>
              <w:t>nerne</w:t>
            </w:r>
            <w:proofErr w:type="spellEnd"/>
            <w:r>
              <w:rPr>
                <w:rFonts w:cs="Arial"/>
              </w:rPr>
              <w:t>.</w:t>
            </w:r>
          </w:p>
          <w:p w:rsidR="003B4DF6" w:rsidRDefault="003B4DF6" w:rsidP="0096106A">
            <w:pPr>
              <w:keepNext/>
              <w:rPr>
                <w:rFonts w:cs="Arial"/>
              </w:rPr>
            </w:pPr>
          </w:p>
          <w:p w:rsidR="003B4DF6" w:rsidRDefault="003B4DF6" w:rsidP="0096106A">
            <w:pPr>
              <w:keepNext/>
              <w:rPr>
                <w:rFonts w:cs="Arial"/>
              </w:rPr>
            </w:pPr>
          </w:p>
          <w:p w:rsidR="003B4DF6" w:rsidRDefault="003B4DF6" w:rsidP="0096106A">
            <w:pPr>
              <w:keepNext/>
              <w:rPr>
                <w:rFonts w:cs="Arial"/>
              </w:rPr>
            </w:pPr>
            <w:r>
              <w:rPr>
                <w:rFonts w:cs="Arial"/>
              </w:rPr>
              <w:t xml:space="preserve">Ved fordelingen af de 10 mio. kr. kan man anvende forskellige fordelinger. Man kan bruge ejerandele, befolkningstal eller en kombination af disse. </w:t>
            </w:r>
          </w:p>
          <w:p w:rsidR="003B4DF6" w:rsidRDefault="003B4DF6" w:rsidP="0096106A">
            <w:pPr>
              <w:keepNext/>
              <w:rPr>
                <w:rFonts w:cs="Arial"/>
              </w:rPr>
            </w:pPr>
          </w:p>
          <w:p w:rsidR="003B4DF6" w:rsidRPr="00CD4346" w:rsidRDefault="003B4DF6" w:rsidP="0096106A">
            <w:pPr>
              <w:keepNext/>
              <w:rPr>
                <w:rFonts w:cs="Arial"/>
                <w:b/>
                <w:u w:val="single"/>
              </w:rPr>
            </w:pPr>
            <w:r>
              <w:rPr>
                <w:rFonts w:cs="Arial"/>
                <w:b/>
                <w:u w:val="single"/>
              </w:rPr>
              <w:t>Model 1:</w:t>
            </w:r>
          </w:p>
          <w:p w:rsidR="003B4DF6" w:rsidRDefault="003B4DF6" w:rsidP="0096106A">
            <w:pPr>
              <w:keepNext/>
              <w:rPr>
                <w:rFonts w:cs="Arial"/>
              </w:rPr>
            </w:pPr>
            <w:r>
              <w:rPr>
                <w:rFonts w:cs="Arial"/>
              </w:rPr>
              <w:t>Ejerandelene i Karup Lufthavn er meget forskelligt fordelt på kommunerne – også set i fo</w:t>
            </w:r>
            <w:r>
              <w:rPr>
                <w:rFonts w:cs="Arial"/>
              </w:rPr>
              <w:t>r</w:t>
            </w:r>
            <w:r>
              <w:rPr>
                <w:rFonts w:cs="Arial"/>
              </w:rPr>
              <w:t>hold til indbyggertal. Herning Kommune er storaktionær med knap 28 pct. af aktierne. V</w:t>
            </w:r>
            <w:r>
              <w:rPr>
                <w:rFonts w:cs="Arial"/>
              </w:rPr>
              <w:t>i</w:t>
            </w:r>
            <w:r>
              <w:rPr>
                <w:rFonts w:cs="Arial"/>
              </w:rPr>
              <w:t>borg Kommune, som er hjemkommune for Karup Lufthavn, har til gengæld kun 12,57 pct. af akt</w:t>
            </w:r>
            <w:r>
              <w:rPr>
                <w:rFonts w:cs="Arial"/>
              </w:rPr>
              <w:t>i</w:t>
            </w:r>
            <w:r>
              <w:rPr>
                <w:rFonts w:cs="Arial"/>
              </w:rPr>
              <w:t xml:space="preserve">erne. </w:t>
            </w:r>
          </w:p>
          <w:p w:rsidR="003B4DF6" w:rsidRDefault="003B4DF6" w:rsidP="0096106A">
            <w:pPr>
              <w:keepNext/>
              <w:rPr>
                <w:rFonts w:cs="Arial"/>
              </w:rPr>
            </w:pPr>
          </w:p>
          <w:tbl>
            <w:tblPr>
              <w:tblW w:w="6227" w:type="dxa"/>
              <w:tblLayout w:type="fixed"/>
              <w:tblCellMar>
                <w:left w:w="70" w:type="dxa"/>
                <w:right w:w="70" w:type="dxa"/>
              </w:tblCellMar>
              <w:tblLook w:val="04A0"/>
            </w:tblPr>
            <w:tblGrid>
              <w:gridCol w:w="2117"/>
              <w:gridCol w:w="1842"/>
              <w:gridCol w:w="2268"/>
            </w:tblGrid>
            <w:tr w:rsidR="003B4DF6" w:rsidRPr="005810C1" w:rsidTr="0096106A">
              <w:trPr>
                <w:trHeight w:val="645"/>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3B4DF6" w:rsidRPr="005810C1" w:rsidRDefault="003B4DF6" w:rsidP="0096106A">
                  <w:pPr>
                    <w:jc w:val="center"/>
                    <w:rPr>
                      <w:b/>
                      <w:bCs/>
                    </w:rPr>
                  </w:pPr>
                  <w:r w:rsidRPr="005810C1">
                    <w:rPr>
                      <w:b/>
                      <w:bCs/>
                    </w:rPr>
                    <w:t>Andelshavere</w:t>
                  </w:r>
                </w:p>
              </w:tc>
              <w:tc>
                <w:tcPr>
                  <w:tcW w:w="1842" w:type="dxa"/>
                  <w:tcBorders>
                    <w:top w:val="single" w:sz="8" w:space="0" w:color="auto"/>
                    <w:left w:val="nil"/>
                    <w:bottom w:val="single" w:sz="8" w:space="0" w:color="auto"/>
                    <w:right w:val="single" w:sz="8" w:space="0" w:color="auto"/>
                  </w:tcBorders>
                  <w:shd w:val="clear" w:color="auto" w:fill="auto"/>
                  <w:hideMark/>
                </w:tcPr>
                <w:p w:rsidR="003B4DF6" w:rsidRPr="005810C1" w:rsidRDefault="003B4DF6" w:rsidP="0096106A">
                  <w:pPr>
                    <w:jc w:val="center"/>
                    <w:rPr>
                      <w:b/>
                      <w:bCs/>
                    </w:rPr>
                  </w:pPr>
                  <w:r w:rsidRPr="005810C1">
                    <w:rPr>
                      <w:b/>
                      <w:bCs/>
                    </w:rPr>
                    <w:t>% a</w:t>
                  </w:r>
                  <w:r w:rsidRPr="005810C1">
                    <w:rPr>
                      <w:b/>
                      <w:bCs/>
                    </w:rPr>
                    <w:t>n</w:t>
                  </w:r>
                  <w:r w:rsidRPr="005810C1">
                    <w:rPr>
                      <w:b/>
                      <w:bCs/>
                    </w:rPr>
                    <w:t>del</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center"/>
                    <w:rPr>
                      <w:b/>
                      <w:bCs/>
                    </w:rPr>
                  </w:pPr>
                  <w:r w:rsidRPr="005810C1">
                    <w:rPr>
                      <w:b/>
                      <w:bCs/>
                    </w:rPr>
                    <w:t>Beløb i kr.</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Herning</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27,98</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2.798.000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Holstebro</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18,56</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1.856.000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Ikast – Brande</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9,32</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932.000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Lemvig</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3,67</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367.000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Ringkøbing – Skjern</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7,32</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732.000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Silkeborg</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7</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700.000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Skive</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8</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800.000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lastRenderedPageBreak/>
                    <w:t>Struer</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5,58</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558.000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Viborg</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12,57</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pPr>
                  <w:r w:rsidRPr="005810C1">
                    <w:t>1.257.000</w:t>
                  </w:r>
                </w:p>
              </w:tc>
            </w:tr>
            <w:tr w:rsidR="003B4DF6" w:rsidRPr="005810C1" w:rsidTr="0096106A">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b/>
                      <w:bCs/>
                    </w:rPr>
                  </w:pPr>
                  <w:r w:rsidRPr="005810C1">
                    <w:rPr>
                      <w:b/>
                      <w:bCs/>
                    </w:rPr>
                    <w:t xml:space="preserve">I alt </w:t>
                  </w:r>
                </w:p>
              </w:tc>
              <w:tc>
                <w:tcPr>
                  <w:tcW w:w="1842"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b/>
                      <w:bCs/>
                    </w:rPr>
                  </w:pPr>
                  <w:r w:rsidRPr="005810C1">
                    <w:rPr>
                      <w:b/>
                      <w:bCs/>
                    </w:rPr>
                    <w:t>100</w:t>
                  </w:r>
                </w:p>
              </w:tc>
              <w:tc>
                <w:tcPr>
                  <w:tcW w:w="2268" w:type="dxa"/>
                  <w:tcBorders>
                    <w:top w:val="single" w:sz="8" w:space="0" w:color="auto"/>
                    <w:left w:val="nil"/>
                    <w:bottom w:val="single" w:sz="8" w:space="0" w:color="auto"/>
                    <w:right w:val="single" w:sz="4" w:space="0" w:color="auto"/>
                  </w:tcBorders>
                  <w:shd w:val="clear" w:color="auto" w:fill="D9D9D9"/>
                  <w:hideMark/>
                </w:tcPr>
                <w:p w:rsidR="003B4DF6" w:rsidRPr="005810C1" w:rsidRDefault="003B4DF6" w:rsidP="0096106A">
                  <w:pPr>
                    <w:jc w:val="right"/>
                    <w:rPr>
                      <w:b/>
                      <w:bCs/>
                    </w:rPr>
                  </w:pPr>
                  <w:r w:rsidRPr="005810C1">
                    <w:rPr>
                      <w:b/>
                      <w:bCs/>
                    </w:rPr>
                    <w:t>10.000.000</w:t>
                  </w:r>
                </w:p>
              </w:tc>
            </w:tr>
          </w:tbl>
          <w:p w:rsidR="003B4DF6" w:rsidRDefault="003B4DF6" w:rsidP="0096106A">
            <w:pPr>
              <w:keepNext/>
              <w:ind w:right="283"/>
              <w:rPr>
                <w:rFonts w:cs="Arial"/>
              </w:rPr>
            </w:pPr>
          </w:p>
          <w:p w:rsidR="003B4DF6" w:rsidRDefault="003B4DF6" w:rsidP="0096106A">
            <w:pPr>
              <w:keepNext/>
              <w:rPr>
                <w:rFonts w:cs="Arial"/>
                <w:b/>
                <w:u w:val="single"/>
              </w:rPr>
            </w:pPr>
            <w:r>
              <w:rPr>
                <w:rFonts w:cs="Arial"/>
                <w:b/>
                <w:u w:val="single"/>
              </w:rPr>
              <w:t>Model 2:</w:t>
            </w:r>
          </w:p>
          <w:p w:rsidR="003B4DF6" w:rsidRDefault="003B4DF6" w:rsidP="0096106A">
            <w:pPr>
              <w:keepNext/>
              <w:rPr>
                <w:rFonts w:cs="Arial"/>
              </w:rPr>
            </w:pPr>
            <w:r>
              <w:rPr>
                <w:rFonts w:cs="Arial"/>
              </w:rPr>
              <w:t>Ses fordelingen ud fra en indbyggermæssig betragtning, giver det følgende resultat:</w:t>
            </w:r>
          </w:p>
          <w:p w:rsidR="003B4DF6" w:rsidRDefault="003B4DF6" w:rsidP="0096106A">
            <w:pPr>
              <w:keepNext/>
            </w:pPr>
          </w:p>
          <w:tbl>
            <w:tblPr>
              <w:tblW w:w="6160" w:type="dxa"/>
              <w:tblLayout w:type="fixed"/>
              <w:tblCellMar>
                <w:left w:w="70" w:type="dxa"/>
                <w:right w:w="70" w:type="dxa"/>
              </w:tblCellMar>
              <w:tblLook w:val="04A0"/>
            </w:tblPr>
            <w:tblGrid>
              <w:gridCol w:w="2140"/>
              <w:gridCol w:w="1800"/>
              <w:gridCol w:w="2220"/>
            </w:tblGrid>
            <w:tr w:rsidR="003B4DF6" w:rsidRPr="005810C1" w:rsidTr="0096106A">
              <w:trPr>
                <w:trHeight w:val="330"/>
              </w:trPr>
              <w:tc>
                <w:tcPr>
                  <w:tcW w:w="2140" w:type="dxa"/>
                  <w:tcBorders>
                    <w:top w:val="single" w:sz="8" w:space="0" w:color="auto"/>
                    <w:left w:val="single" w:sz="8" w:space="0" w:color="auto"/>
                    <w:bottom w:val="single" w:sz="8" w:space="0" w:color="auto"/>
                    <w:right w:val="single" w:sz="8" w:space="0" w:color="auto"/>
                  </w:tcBorders>
                  <w:shd w:val="clear" w:color="auto" w:fill="auto"/>
                  <w:hideMark/>
                </w:tcPr>
                <w:p w:rsidR="003B4DF6" w:rsidRPr="005810C1" w:rsidRDefault="003B4DF6" w:rsidP="0096106A">
                  <w:pPr>
                    <w:jc w:val="center"/>
                    <w:rPr>
                      <w:b/>
                      <w:bCs/>
                    </w:rPr>
                  </w:pPr>
                  <w:r w:rsidRPr="005810C1">
                    <w:rPr>
                      <w:b/>
                      <w:bCs/>
                    </w:rPr>
                    <w:t>Andelshavere</w:t>
                  </w:r>
                </w:p>
              </w:tc>
              <w:tc>
                <w:tcPr>
                  <w:tcW w:w="1800" w:type="dxa"/>
                  <w:tcBorders>
                    <w:top w:val="single" w:sz="8" w:space="0" w:color="auto"/>
                    <w:left w:val="nil"/>
                    <w:bottom w:val="single" w:sz="8" w:space="0" w:color="auto"/>
                    <w:right w:val="single" w:sz="8" w:space="0" w:color="auto"/>
                  </w:tcBorders>
                  <w:shd w:val="clear" w:color="auto" w:fill="auto"/>
                  <w:hideMark/>
                </w:tcPr>
                <w:p w:rsidR="003B4DF6" w:rsidRPr="005810C1" w:rsidRDefault="003B4DF6" w:rsidP="0096106A">
                  <w:pPr>
                    <w:jc w:val="center"/>
                    <w:rPr>
                      <w:b/>
                      <w:bCs/>
                    </w:rPr>
                  </w:pPr>
                  <w:r w:rsidRPr="005810C1">
                    <w:rPr>
                      <w:b/>
                      <w:bCs/>
                    </w:rPr>
                    <w:t>Indbyggere</w:t>
                  </w:r>
                </w:p>
              </w:tc>
              <w:tc>
                <w:tcPr>
                  <w:tcW w:w="2220" w:type="dxa"/>
                  <w:tcBorders>
                    <w:top w:val="single" w:sz="8" w:space="0" w:color="auto"/>
                    <w:left w:val="nil"/>
                    <w:bottom w:val="single" w:sz="8" w:space="0" w:color="auto"/>
                    <w:right w:val="single" w:sz="8" w:space="0" w:color="auto"/>
                  </w:tcBorders>
                  <w:shd w:val="clear" w:color="auto" w:fill="D9D9D9"/>
                  <w:hideMark/>
                </w:tcPr>
                <w:p w:rsidR="003B4DF6" w:rsidRPr="005810C1" w:rsidRDefault="003B4DF6" w:rsidP="0096106A">
                  <w:pPr>
                    <w:jc w:val="center"/>
                    <w:rPr>
                      <w:b/>
                      <w:bCs/>
                    </w:rPr>
                  </w:pPr>
                  <w:r w:rsidRPr="005810C1">
                    <w:rPr>
                      <w:b/>
                      <w:bCs/>
                    </w:rPr>
                    <w:t>Beløb i kr.</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Herning</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86.464</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1.674.089</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Holstebro</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57.299</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1.109.405</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Ikast – Brande</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40.606</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786.201</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Lemvig</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21.310</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412.597</w:t>
                  </w:r>
                </w:p>
              </w:tc>
            </w:tr>
            <w:tr w:rsidR="003B4DF6" w:rsidRPr="005810C1" w:rsidTr="0096106A">
              <w:trPr>
                <w:trHeight w:val="375"/>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Ringkøbing – Skjern</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57.781</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1.118.737</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Silkeborg</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89.334</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1.729.657</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Skive</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47.508</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919.835</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Struer</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22.082</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427.545</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r w:rsidRPr="005810C1">
                    <w:t>Viborg</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pPr>
                  <w:r w:rsidRPr="005810C1">
                    <w:t>94.100</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pPr>
                  <w:r w:rsidRPr="005810C1">
                    <w:t>1.821.934</w:t>
                  </w:r>
                </w:p>
              </w:tc>
            </w:tr>
            <w:tr w:rsidR="003B4DF6" w:rsidRPr="005810C1" w:rsidTr="0096106A">
              <w:trPr>
                <w:trHeight w:val="330"/>
              </w:trPr>
              <w:tc>
                <w:tcPr>
                  <w:tcW w:w="2140"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b/>
                      <w:bCs/>
                    </w:rPr>
                  </w:pPr>
                  <w:r w:rsidRPr="005810C1">
                    <w:rPr>
                      <w:b/>
                      <w:bCs/>
                    </w:rPr>
                    <w:t xml:space="preserve">I alt </w:t>
                  </w:r>
                </w:p>
              </w:tc>
              <w:tc>
                <w:tcPr>
                  <w:tcW w:w="1800"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b/>
                      <w:bCs/>
                    </w:rPr>
                  </w:pPr>
                  <w:r w:rsidRPr="005810C1">
                    <w:rPr>
                      <w:b/>
                      <w:bCs/>
                    </w:rPr>
                    <w:t>516.484</w:t>
                  </w:r>
                </w:p>
              </w:tc>
              <w:tc>
                <w:tcPr>
                  <w:tcW w:w="2220"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b/>
                      <w:bCs/>
                    </w:rPr>
                  </w:pPr>
                  <w:r w:rsidRPr="005810C1">
                    <w:rPr>
                      <w:b/>
                      <w:bCs/>
                    </w:rPr>
                    <w:t>10.000.000</w:t>
                  </w:r>
                </w:p>
              </w:tc>
            </w:tr>
          </w:tbl>
          <w:p w:rsidR="003B4DF6" w:rsidRDefault="003B4DF6" w:rsidP="0096106A">
            <w:pPr>
              <w:keepNext/>
              <w:rPr>
                <w:rFonts w:cs="Arial"/>
              </w:rPr>
            </w:pPr>
          </w:p>
          <w:p w:rsidR="003B4DF6" w:rsidRPr="00CD58BF" w:rsidRDefault="003B4DF6" w:rsidP="0096106A">
            <w:pPr>
              <w:keepNext/>
              <w:rPr>
                <w:rFonts w:cs="Arial"/>
              </w:rPr>
            </w:pPr>
            <w:r w:rsidRPr="00CD58BF">
              <w:rPr>
                <w:rFonts w:cs="Arial"/>
              </w:rPr>
              <w:t xml:space="preserve">Som det ses af ovenstående to beregninger, giver fordelingsnøglerne vidt forskellige beløb for de involverede kommuner. </w:t>
            </w:r>
          </w:p>
          <w:p w:rsidR="003B4DF6" w:rsidRDefault="003B4DF6" w:rsidP="0096106A">
            <w:pPr>
              <w:keepNext/>
              <w:rPr>
                <w:rFonts w:cs="Arial"/>
                <w:highlight w:val="yellow"/>
              </w:rPr>
            </w:pPr>
          </w:p>
          <w:p w:rsidR="003B4DF6" w:rsidRDefault="003B4DF6" w:rsidP="0096106A">
            <w:pPr>
              <w:keepNext/>
              <w:rPr>
                <w:rFonts w:cs="Arial"/>
                <w:highlight w:val="yellow"/>
              </w:rPr>
            </w:pPr>
          </w:p>
          <w:p w:rsidR="003B4DF6" w:rsidRDefault="003B4DF6" w:rsidP="0096106A">
            <w:pPr>
              <w:keepNext/>
            </w:pPr>
            <w:r w:rsidRPr="00CD4346">
              <w:rPr>
                <w:rFonts w:cs="Arial"/>
                <w:b/>
                <w:u w:val="single"/>
              </w:rPr>
              <w:t>Model 3:</w:t>
            </w:r>
            <w:r>
              <w:rPr>
                <w:rFonts w:cs="Arial"/>
                <w:b/>
                <w:u w:val="single"/>
              </w:rPr>
              <w:br/>
            </w:r>
            <w:r>
              <w:t>En tredje fordelingsberegning kan være, at halvdelen af kapitalindskuddet beregnes ud fra ejerandele og halvdelen betales ud fra befolkningstal. Denne kombinationsløsning giver fø</w:t>
            </w:r>
            <w:r>
              <w:t>l</w:t>
            </w:r>
            <w:r>
              <w:t>gende resultat:</w:t>
            </w:r>
          </w:p>
          <w:p w:rsidR="003B4DF6" w:rsidRDefault="003B4DF6" w:rsidP="0096106A">
            <w:pPr>
              <w:keepNext/>
            </w:pPr>
          </w:p>
          <w:tbl>
            <w:tblPr>
              <w:tblW w:w="8495" w:type="dxa"/>
              <w:tblLayout w:type="fixed"/>
              <w:tblCellMar>
                <w:left w:w="70" w:type="dxa"/>
                <w:right w:w="70" w:type="dxa"/>
              </w:tblCellMar>
              <w:tblLook w:val="04A0"/>
            </w:tblPr>
            <w:tblGrid>
              <w:gridCol w:w="1833"/>
              <w:gridCol w:w="1134"/>
              <w:gridCol w:w="1276"/>
              <w:gridCol w:w="1417"/>
              <w:gridCol w:w="1418"/>
              <w:gridCol w:w="1417"/>
            </w:tblGrid>
            <w:tr w:rsidR="003B4DF6" w:rsidRPr="005810C1" w:rsidTr="0096106A">
              <w:trPr>
                <w:trHeight w:val="33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Andelshav</w:t>
                  </w:r>
                  <w:r w:rsidRPr="005810C1">
                    <w:rPr>
                      <w:b/>
                      <w:bCs/>
                      <w:szCs w:val="18"/>
                    </w:rPr>
                    <w:t>e</w:t>
                  </w:r>
                  <w:r w:rsidRPr="005810C1">
                    <w:rPr>
                      <w:b/>
                      <w:bCs/>
                      <w:szCs w:val="18"/>
                    </w:rPr>
                    <w:t>re</w:t>
                  </w:r>
                </w:p>
              </w:tc>
              <w:tc>
                <w:tcPr>
                  <w:tcW w:w="1134" w:type="dxa"/>
                  <w:tcBorders>
                    <w:top w:val="single" w:sz="8" w:space="0" w:color="auto"/>
                    <w:left w:val="nil"/>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 a</w:t>
                  </w:r>
                  <w:r w:rsidRPr="005810C1">
                    <w:rPr>
                      <w:b/>
                      <w:bCs/>
                      <w:szCs w:val="18"/>
                    </w:rPr>
                    <w:t>n</w:t>
                  </w:r>
                  <w:r w:rsidRPr="005810C1">
                    <w:rPr>
                      <w:b/>
                      <w:bCs/>
                      <w:szCs w:val="18"/>
                    </w:rPr>
                    <w:t>del</w:t>
                  </w:r>
                </w:p>
              </w:tc>
              <w:tc>
                <w:tcPr>
                  <w:tcW w:w="1276" w:type="dxa"/>
                  <w:tcBorders>
                    <w:top w:val="single" w:sz="8" w:space="0" w:color="auto"/>
                    <w:left w:val="nil"/>
                    <w:bottom w:val="single" w:sz="8" w:space="0" w:color="auto"/>
                    <w:right w:val="nil"/>
                  </w:tcBorders>
                  <w:shd w:val="clear" w:color="auto" w:fill="auto"/>
                  <w:hideMark/>
                </w:tcPr>
                <w:p w:rsidR="003B4DF6" w:rsidRPr="005810C1" w:rsidRDefault="003B4DF6" w:rsidP="0096106A">
                  <w:pPr>
                    <w:jc w:val="center"/>
                    <w:rPr>
                      <w:b/>
                      <w:bCs/>
                      <w:szCs w:val="18"/>
                    </w:rPr>
                  </w:pPr>
                  <w:r w:rsidRPr="005810C1">
                    <w:rPr>
                      <w:b/>
                      <w:bCs/>
                      <w:szCs w:val="18"/>
                    </w:rPr>
                    <w:t>Beløb i kr.</w:t>
                  </w:r>
                </w:p>
              </w:tc>
              <w:tc>
                <w:tcPr>
                  <w:tcW w:w="1417" w:type="dxa"/>
                  <w:tcBorders>
                    <w:top w:val="single" w:sz="8" w:space="0" w:color="auto"/>
                    <w:left w:val="single" w:sz="4" w:space="0" w:color="auto"/>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Indby</w:t>
                  </w:r>
                  <w:r w:rsidRPr="005810C1">
                    <w:rPr>
                      <w:b/>
                      <w:bCs/>
                      <w:szCs w:val="18"/>
                    </w:rPr>
                    <w:t>g</w:t>
                  </w:r>
                  <w:r w:rsidRPr="005810C1">
                    <w:rPr>
                      <w:b/>
                      <w:bCs/>
                      <w:szCs w:val="18"/>
                    </w:rPr>
                    <w:t>gere</w:t>
                  </w:r>
                </w:p>
              </w:tc>
              <w:tc>
                <w:tcPr>
                  <w:tcW w:w="1418" w:type="dxa"/>
                  <w:tcBorders>
                    <w:top w:val="single" w:sz="8" w:space="0" w:color="auto"/>
                    <w:left w:val="nil"/>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Beløb i kr.</w:t>
                  </w:r>
                </w:p>
              </w:tc>
              <w:tc>
                <w:tcPr>
                  <w:tcW w:w="1417" w:type="dxa"/>
                  <w:tcBorders>
                    <w:top w:val="single" w:sz="8" w:space="0" w:color="auto"/>
                    <w:left w:val="nil"/>
                    <w:bottom w:val="single" w:sz="8" w:space="0" w:color="auto"/>
                    <w:right w:val="single" w:sz="8" w:space="0" w:color="auto"/>
                  </w:tcBorders>
                  <w:shd w:val="clear" w:color="auto" w:fill="D9D9D9"/>
                  <w:noWrap/>
                  <w:vAlign w:val="bottom"/>
                  <w:hideMark/>
                </w:tcPr>
                <w:p w:rsidR="003B4DF6" w:rsidRPr="005810C1" w:rsidRDefault="003B4DF6" w:rsidP="0096106A">
                  <w:pPr>
                    <w:rPr>
                      <w:b/>
                      <w:bCs/>
                      <w:szCs w:val="18"/>
                    </w:rPr>
                  </w:pPr>
                  <w:r w:rsidRPr="005810C1">
                    <w:rPr>
                      <w:b/>
                      <w:bCs/>
                      <w:szCs w:val="18"/>
                    </w:rPr>
                    <w:t>Beløb i alt</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Herning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27,98</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1.399.000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86.464</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837.044</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2.236.044</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Holstebro</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18,56</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928.000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57.299</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554.703</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1.482.703</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Ikast – Bra</w:t>
                  </w:r>
                  <w:r w:rsidRPr="005810C1">
                    <w:rPr>
                      <w:szCs w:val="18"/>
                    </w:rPr>
                    <w:t>n</w:t>
                  </w:r>
                  <w:r w:rsidRPr="005810C1">
                    <w:rPr>
                      <w:szCs w:val="18"/>
                    </w:rPr>
                    <w:t>de</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9,32</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466.000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40.606</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393.100</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859.100</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Lemvig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3,67</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183.500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21.310</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206.299</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389.799</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Ringkøbing – Skjern</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7,32</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366.000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57.781</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559.369</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keepNext/>
                    <w:jc w:val="right"/>
                    <w:rPr>
                      <w:szCs w:val="18"/>
                    </w:rPr>
                  </w:pPr>
                  <w:r w:rsidRPr="005810C1">
                    <w:rPr>
                      <w:szCs w:val="18"/>
                    </w:rPr>
                    <w:t>925.369</w:t>
                  </w:r>
                </w:p>
                <w:p w:rsidR="003B4DF6" w:rsidRPr="005810C1" w:rsidRDefault="003B4DF6" w:rsidP="0096106A">
                  <w:pPr>
                    <w:jc w:val="right"/>
                    <w:rPr>
                      <w:bCs/>
                      <w:szCs w:val="18"/>
                    </w:rPr>
                  </w:pP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Silkeborg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7</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350.000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89.334</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864.828</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1.214.828</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Skive</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400.000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47.508</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459.917</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859.917</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Struer</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5,58</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279.000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22.082</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213.772</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492.772</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Viborg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12,57</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szCs w:val="18"/>
                    </w:rPr>
                  </w:pPr>
                  <w:r w:rsidRPr="005810C1">
                    <w:rPr>
                      <w:szCs w:val="18"/>
                    </w:rPr>
                    <w:t>628.500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94.100</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910.967</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Cs/>
                      <w:szCs w:val="18"/>
                    </w:rPr>
                  </w:pPr>
                  <w:r w:rsidRPr="005810C1">
                    <w:rPr>
                      <w:bCs/>
                      <w:szCs w:val="18"/>
                    </w:rPr>
                    <w:t>1.539.467</w:t>
                  </w:r>
                </w:p>
              </w:tc>
            </w:tr>
            <w:tr w:rsidR="003B4DF6" w:rsidRPr="005810C1" w:rsidTr="0096106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b/>
                      <w:bCs/>
                      <w:szCs w:val="18"/>
                    </w:rPr>
                  </w:pPr>
                  <w:r w:rsidRPr="005810C1">
                    <w:rPr>
                      <w:b/>
                      <w:bCs/>
                      <w:szCs w:val="18"/>
                    </w:rPr>
                    <w:t xml:space="preserve">I alt </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b/>
                      <w:bCs/>
                      <w:szCs w:val="18"/>
                    </w:rPr>
                  </w:pPr>
                  <w:r w:rsidRPr="005810C1">
                    <w:rPr>
                      <w:b/>
                      <w:bCs/>
                      <w:szCs w:val="18"/>
                    </w:rPr>
                    <w:t>100</w:t>
                  </w:r>
                </w:p>
              </w:tc>
              <w:tc>
                <w:tcPr>
                  <w:tcW w:w="1276" w:type="dxa"/>
                  <w:tcBorders>
                    <w:top w:val="nil"/>
                    <w:left w:val="nil"/>
                    <w:bottom w:val="single" w:sz="8" w:space="0" w:color="auto"/>
                    <w:right w:val="nil"/>
                  </w:tcBorders>
                  <w:shd w:val="clear" w:color="auto" w:fill="auto"/>
                  <w:hideMark/>
                </w:tcPr>
                <w:p w:rsidR="003B4DF6" w:rsidRPr="005810C1" w:rsidRDefault="003B4DF6" w:rsidP="0096106A">
                  <w:pPr>
                    <w:jc w:val="right"/>
                    <w:rPr>
                      <w:b/>
                      <w:bCs/>
                      <w:szCs w:val="18"/>
                    </w:rPr>
                  </w:pPr>
                  <w:r w:rsidRPr="005810C1">
                    <w:rPr>
                      <w:b/>
                      <w:bCs/>
                      <w:szCs w:val="18"/>
                    </w:rPr>
                    <w:t>5.000.000</w:t>
                  </w:r>
                </w:p>
              </w:tc>
              <w:tc>
                <w:tcPr>
                  <w:tcW w:w="1417" w:type="dxa"/>
                  <w:tcBorders>
                    <w:top w:val="nil"/>
                    <w:left w:val="single" w:sz="4" w:space="0" w:color="auto"/>
                    <w:bottom w:val="single" w:sz="8" w:space="0" w:color="auto"/>
                    <w:right w:val="single" w:sz="8" w:space="0" w:color="auto"/>
                  </w:tcBorders>
                  <w:shd w:val="clear" w:color="auto" w:fill="auto"/>
                  <w:hideMark/>
                </w:tcPr>
                <w:p w:rsidR="003B4DF6" w:rsidRPr="005810C1" w:rsidRDefault="003B4DF6" w:rsidP="0096106A">
                  <w:pPr>
                    <w:jc w:val="right"/>
                    <w:rPr>
                      <w:b/>
                      <w:bCs/>
                      <w:szCs w:val="18"/>
                    </w:rPr>
                  </w:pPr>
                  <w:r w:rsidRPr="005810C1">
                    <w:rPr>
                      <w:b/>
                      <w:bCs/>
                      <w:szCs w:val="18"/>
                    </w:rPr>
                    <w:t>516.484</w:t>
                  </w:r>
                </w:p>
              </w:tc>
              <w:tc>
                <w:tcPr>
                  <w:tcW w:w="1418"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b/>
                      <w:bCs/>
                      <w:szCs w:val="18"/>
                    </w:rPr>
                  </w:pPr>
                  <w:r w:rsidRPr="005810C1">
                    <w:rPr>
                      <w:b/>
                      <w:bCs/>
                      <w:szCs w:val="18"/>
                    </w:rPr>
                    <w:t>5.000.000</w:t>
                  </w:r>
                </w:p>
              </w:tc>
              <w:tc>
                <w:tcPr>
                  <w:tcW w:w="1417"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
                      <w:bCs/>
                      <w:szCs w:val="18"/>
                    </w:rPr>
                  </w:pPr>
                  <w:r w:rsidRPr="005810C1">
                    <w:rPr>
                      <w:b/>
                      <w:bCs/>
                      <w:szCs w:val="18"/>
                    </w:rPr>
                    <w:t>10.000.000</w:t>
                  </w:r>
                </w:p>
              </w:tc>
            </w:tr>
          </w:tbl>
          <w:p w:rsidR="003B4DF6" w:rsidRDefault="003B4DF6" w:rsidP="0096106A">
            <w:pPr>
              <w:keepNext/>
            </w:pPr>
          </w:p>
          <w:p w:rsidR="003B4DF6" w:rsidRDefault="003B4DF6" w:rsidP="0096106A">
            <w:pPr>
              <w:keepNext/>
            </w:pPr>
          </w:p>
          <w:p w:rsidR="003B4DF6" w:rsidRPr="00CD4346" w:rsidRDefault="003B4DF6" w:rsidP="0096106A">
            <w:pPr>
              <w:keepNext/>
              <w:rPr>
                <w:b/>
                <w:u w:val="single"/>
              </w:rPr>
            </w:pPr>
            <w:r>
              <w:rPr>
                <w:b/>
                <w:u w:val="single"/>
              </w:rPr>
              <w:t>Model 4:</w:t>
            </w:r>
          </w:p>
          <w:p w:rsidR="003B4DF6" w:rsidRDefault="003B4DF6" w:rsidP="0096106A">
            <w:pPr>
              <w:keepNext/>
            </w:pPr>
            <w:r>
              <w:t xml:space="preserve">En fjerde model er også mulig. Viborgs borgmester har tilkendegivet, at ville </w:t>
            </w:r>
            <w:r>
              <w:lastRenderedPageBreak/>
              <w:t>indstille til B</w:t>
            </w:r>
            <w:r>
              <w:t>y</w:t>
            </w:r>
            <w:r>
              <w:t>rådet, at kommunen vil betale en større andel, end det som ovenstående b</w:t>
            </w:r>
            <w:r>
              <w:t>e</w:t>
            </w:r>
            <w:r>
              <w:t>regninger giver anledning til. Derfor foreslår formanden og næstformanden i Karup Lufthavns forretningsu</w:t>
            </w:r>
            <w:r>
              <w:t>d</w:t>
            </w:r>
            <w:r>
              <w:t>valg følgende fordeling, der tager udgangspunkt i ejerandelene, men hvor der foretages en ko</w:t>
            </w:r>
            <w:r>
              <w:t>r</w:t>
            </w:r>
            <w:r>
              <w:t>rektion i forhold til Viborg og Herning kommuner, sådan at Herning og Viborg kommuner betaler en lige så stor andel af de 10 mio. kr. Denne korrektion betyder, at Viborg og Herning kommuner hver b</w:t>
            </w:r>
            <w:r>
              <w:t>e</w:t>
            </w:r>
            <w:r>
              <w:t xml:space="preserve">taler 20,3 pct. </w:t>
            </w:r>
          </w:p>
          <w:p w:rsidR="003B4DF6" w:rsidRDefault="003B4DF6" w:rsidP="0096106A">
            <w:pPr>
              <w:keepNext/>
            </w:pPr>
          </w:p>
          <w:p w:rsidR="003B4DF6" w:rsidRDefault="003B4DF6" w:rsidP="0096106A">
            <w:pPr>
              <w:keepNext/>
            </w:pPr>
          </w:p>
          <w:p w:rsidR="003B4DF6" w:rsidRDefault="003B4DF6" w:rsidP="0096106A">
            <w:pPr>
              <w:keepNext/>
            </w:pPr>
          </w:p>
          <w:tbl>
            <w:tblPr>
              <w:tblW w:w="8495" w:type="dxa"/>
              <w:tblLayout w:type="fixed"/>
              <w:tblCellMar>
                <w:left w:w="70" w:type="dxa"/>
                <w:right w:w="70" w:type="dxa"/>
              </w:tblCellMar>
              <w:tblLook w:val="04A0"/>
            </w:tblPr>
            <w:tblGrid>
              <w:gridCol w:w="1691"/>
              <w:gridCol w:w="1134"/>
              <w:gridCol w:w="1418"/>
              <w:gridCol w:w="2268"/>
              <w:gridCol w:w="1984"/>
            </w:tblGrid>
            <w:tr w:rsidR="003B4DF6" w:rsidRPr="005810C1" w:rsidTr="0096106A">
              <w:trPr>
                <w:trHeight w:val="645"/>
              </w:trPr>
              <w:tc>
                <w:tcPr>
                  <w:tcW w:w="1691" w:type="dxa"/>
                  <w:tcBorders>
                    <w:top w:val="single" w:sz="8" w:space="0" w:color="auto"/>
                    <w:left w:val="single" w:sz="8" w:space="0" w:color="auto"/>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Andelsh</w:t>
                  </w:r>
                  <w:r w:rsidRPr="005810C1">
                    <w:rPr>
                      <w:b/>
                      <w:bCs/>
                      <w:szCs w:val="18"/>
                    </w:rPr>
                    <w:t>a</w:t>
                  </w:r>
                  <w:r w:rsidRPr="005810C1">
                    <w:rPr>
                      <w:b/>
                      <w:bCs/>
                      <w:szCs w:val="18"/>
                    </w:rPr>
                    <w:t>vere</w:t>
                  </w:r>
                </w:p>
              </w:tc>
              <w:tc>
                <w:tcPr>
                  <w:tcW w:w="1134" w:type="dxa"/>
                  <w:tcBorders>
                    <w:top w:val="single" w:sz="8" w:space="0" w:color="auto"/>
                    <w:left w:val="nil"/>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 a</w:t>
                  </w:r>
                  <w:r w:rsidRPr="005810C1">
                    <w:rPr>
                      <w:b/>
                      <w:bCs/>
                      <w:szCs w:val="18"/>
                    </w:rPr>
                    <w:t>n</w:t>
                  </w:r>
                  <w:r w:rsidRPr="005810C1">
                    <w:rPr>
                      <w:b/>
                      <w:bCs/>
                      <w:szCs w:val="18"/>
                    </w:rPr>
                    <w:t>del</w:t>
                  </w:r>
                </w:p>
              </w:tc>
              <w:tc>
                <w:tcPr>
                  <w:tcW w:w="1418" w:type="dxa"/>
                  <w:tcBorders>
                    <w:top w:val="single" w:sz="8" w:space="0" w:color="auto"/>
                    <w:left w:val="nil"/>
                    <w:bottom w:val="single" w:sz="8" w:space="0" w:color="auto"/>
                    <w:right w:val="nil"/>
                  </w:tcBorders>
                  <w:shd w:val="clear" w:color="auto" w:fill="D9D9D9"/>
                  <w:hideMark/>
                </w:tcPr>
                <w:p w:rsidR="003B4DF6" w:rsidRPr="005810C1" w:rsidRDefault="003B4DF6" w:rsidP="0096106A">
                  <w:pPr>
                    <w:jc w:val="center"/>
                    <w:rPr>
                      <w:b/>
                      <w:bCs/>
                      <w:szCs w:val="18"/>
                    </w:rPr>
                  </w:pPr>
                  <w:r w:rsidRPr="005810C1">
                    <w:rPr>
                      <w:b/>
                      <w:bCs/>
                      <w:szCs w:val="18"/>
                    </w:rPr>
                    <w:t>Beløb i kr.</w:t>
                  </w:r>
                </w:p>
              </w:tc>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Alternativ udregningspr</w:t>
                  </w:r>
                  <w:r w:rsidRPr="005810C1">
                    <w:rPr>
                      <w:b/>
                      <w:bCs/>
                      <w:szCs w:val="18"/>
                    </w:rPr>
                    <w:t>o</w:t>
                  </w:r>
                  <w:r w:rsidRPr="005810C1">
                    <w:rPr>
                      <w:b/>
                      <w:bCs/>
                      <w:szCs w:val="18"/>
                    </w:rPr>
                    <w:t>cent</w:t>
                  </w:r>
                </w:p>
              </w:tc>
              <w:tc>
                <w:tcPr>
                  <w:tcW w:w="1984" w:type="dxa"/>
                  <w:tcBorders>
                    <w:top w:val="single" w:sz="8" w:space="0" w:color="auto"/>
                    <w:left w:val="nil"/>
                    <w:bottom w:val="single" w:sz="8" w:space="0" w:color="auto"/>
                    <w:right w:val="single" w:sz="8" w:space="0" w:color="auto"/>
                  </w:tcBorders>
                  <w:shd w:val="clear" w:color="auto" w:fill="D9D9D9"/>
                  <w:noWrap/>
                  <w:vAlign w:val="bottom"/>
                  <w:hideMark/>
                </w:tcPr>
                <w:p w:rsidR="003B4DF6" w:rsidRDefault="003B4DF6" w:rsidP="0096106A">
                  <w:pPr>
                    <w:rPr>
                      <w:b/>
                      <w:bCs/>
                      <w:szCs w:val="18"/>
                    </w:rPr>
                  </w:pPr>
                  <w:r w:rsidRPr="005810C1">
                    <w:rPr>
                      <w:b/>
                      <w:bCs/>
                      <w:szCs w:val="18"/>
                    </w:rPr>
                    <w:t>Den foresl</w:t>
                  </w:r>
                  <w:r w:rsidRPr="005810C1">
                    <w:rPr>
                      <w:b/>
                      <w:bCs/>
                      <w:szCs w:val="18"/>
                    </w:rPr>
                    <w:t>å</w:t>
                  </w:r>
                  <w:r w:rsidRPr="005810C1">
                    <w:rPr>
                      <w:b/>
                      <w:bCs/>
                      <w:szCs w:val="18"/>
                    </w:rPr>
                    <w:t>ede fordeling</w:t>
                  </w:r>
                </w:p>
                <w:p w:rsidR="003B4DF6" w:rsidRPr="005810C1" w:rsidRDefault="003B4DF6" w:rsidP="0096106A">
                  <w:pPr>
                    <w:rPr>
                      <w:b/>
                      <w:bCs/>
                      <w:szCs w:val="18"/>
                    </w:rPr>
                  </w:pP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Herning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27,98</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2.798.000</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3B4DF6" w:rsidRPr="005810C1" w:rsidRDefault="003B4DF6" w:rsidP="0096106A">
                  <w:pPr>
                    <w:jc w:val="right"/>
                    <w:rPr>
                      <w:szCs w:val="18"/>
                    </w:rPr>
                  </w:pPr>
                  <w:r w:rsidRPr="005810C1">
                    <w:rPr>
                      <w:szCs w:val="18"/>
                    </w:rPr>
                    <w:t>20,275</w:t>
                  </w:r>
                </w:p>
              </w:tc>
              <w:tc>
                <w:tcPr>
                  <w:tcW w:w="1984"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szCs w:val="18"/>
                    </w:rPr>
                  </w:pPr>
                  <w:r w:rsidRPr="005810C1">
                    <w:rPr>
                      <w:szCs w:val="18"/>
                    </w:rPr>
                    <w:t xml:space="preserve">                2.027.500 </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Holstebro</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18,56</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1.856.000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18,56</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1.856.000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Ikast – Brande</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9,32</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932.000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9,32</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932.000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Lemvig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3,67</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367.000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3,67</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367.000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Ringkøbing – Skjern</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7,32</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732.000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7,32</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732.000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Silkeborg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7</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700.000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7</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700.000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Skive</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800.000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8</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800.000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Struer</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5,58</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558.000</w:t>
                  </w:r>
                </w:p>
              </w:tc>
              <w:tc>
                <w:tcPr>
                  <w:tcW w:w="2268"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5,58</w:t>
                  </w:r>
                </w:p>
              </w:tc>
              <w:tc>
                <w:tcPr>
                  <w:tcW w:w="1984" w:type="dxa"/>
                  <w:tcBorders>
                    <w:top w:val="nil"/>
                    <w:left w:val="nil"/>
                    <w:bottom w:val="single" w:sz="8" w:space="0" w:color="auto"/>
                    <w:right w:val="single" w:sz="8" w:space="0" w:color="auto"/>
                  </w:tcBorders>
                  <w:shd w:val="clear" w:color="auto" w:fill="D9D9D9"/>
                  <w:hideMark/>
                </w:tcPr>
                <w:p w:rsidR="003B4DF6" w:rsidRPr="005810C1" w:rsidRDefault="003B4DF6" w:rsidP="0096106A">
                  <w:pPr>
                    <w:jc w:val="right"/>
                    <w:rPr>
                      <w:szCs w:val="18"/>
                    </w:rPr>
                  </w:pPr>
                  <w:r w:rsidRPr="005810C1">
                    <w:rPr>
                      <w:szCs w:val="18"/>
                    </w:rPr>
                    <w:t>558.000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Viborg</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szCs w:val="18"/>
                    </w:rPr>
                  </w:pPr>
                  <w:r w:rsidRPr="005810C1">
                    <w:rPr>
                      <w:szCs w:val="18"/>
                    </w:rPr>
                    <w:t>12,57</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szCs w:val="18"/>
                    </w:rPr>
                  </w:pPr>
                  <w:r w:rsidRPr="005810C1">
                    <w:rPr>
                      <w:szCs w:val="18"/>
                    </w:rPr>
                    <w:t>1.257.000</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3B4DF6" w:rsidRPr="005810C1" w:rsidRDefault="003B4DF6" w:rsidP="0096106A">
                  <w:pPr>
                    <w:jc w:val="right"/>
                    <w:rPr>
                      <w:szCs w:val="18"/>
                    </w:rPr>
                  </w:pPr>
                  <w:r w:rsidRPr="005810C1">
                    <w:rPr>
                      <w:szCs w:val="18"/>
                    </w:rPr>
                    <w:t>20,275</w:t>
                  </w:r>
                </w:p>
              </w:tc>
              <w:tc>
                <w:tcPr>
                  <w:tcW w:w="1984"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szCs w:val="18"/>
                    </w:rPr>
                  </w:pPr>
                  <w:r w:rsidRPr="005810C1">
                    <w:rPr>
                      <w:szCs w:val="18"/>
                    </w:rPr>
                    <w:t xml:space="preserve">                2.027.500 </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b/>
                      <w:bCs/>
                      <w:szCs w:val="18"/>
                    </w:rPr>
                  </w:pPr>
                  <w:r w:rsidRPr="005810C1">
                    <w:rPr>
                      <w:b/>
                      <w:bCs/>
                      <w:szCs w:val="18"/>
                    </w:rPr>
                    <w:t xml:space="preserve">I alt </w:t>
                  </w:r>
                </w:p>
              </w:tc>
              <w:tc>
                <w:tcPr>
                  <w:tcW w:w="1134" w:type="dxa"/>
                  <w:tcBorders>
                    <w:top w:val="nil"/>
                    <w:left w:val="nil"/>
                    <w:bottom w:val="single" w:sz="8" w:space="0" w:color="auto"/>
                    <w:right w:val="single" w:sz="8" w:space="0" w:color="auto"/>
                  </w:tcBorders>
                  <w:shd w:val="clear" w:color="auto" w:fill="auto"/>
                  <w:hideMark/>
                </w:tcPr>
                <w:p w:rsidR="003B4DF6" w:rsidRPr="005810C1" w:rsidRDefault="003B4DF6" w:rsidP="0096106A">
                  <w:pPr>
                    <w:jc w:val="right"/>
                    <w:rPr>
                      <w:b/>
                      <w:bCs/>
                      <w:szCs w:val="18"/>
                    </w:rPr>
                  </w:pPr>
                  <w:r w:rsidRPr="005810C1">
                    <w:rPr>
                      <w:b/>
                      <w:bCs/>
                      <w:szCs w:val="18"/>
                    </w:rPr>
                    <w:t>100</w:t>
                  </w:r>
                </w:p>
              </w:tc>
              <w:tc>
                <w:tcPr>
                  <w:tcW w:w="1418" w:type="dxa"/>
                  <w:tcBorders>
                    <w:top w:val="nil"/>
                    <w:left w:val="nil"/>
                    <w:bottom w:val="single" w:sz="8" w:space="0" w:color="auto"/>
                    <w:right w:val="nil"/>
                  </w:tcBorders>
                  <w:shd w:val="clear" w:color="auto" w:fill="D9D9D9"/>
                  <w:hideMark/>
                </w:tcPr>
                <w:p w:rsidR="003B4DF6" w:rsidRPr="005810C1" w:rsidRDefault="003B4DF6" w:rsidP="0096106A">
                  <w:pPr>
                    <w:jc w:val="right"/>
                    <w:rPr>
                      <w:b/>
                      <w:bCs/>
                      <w:szCs w:val="18"/>
                    </w:rPr>
                  </w:pPr>
                  <w:r w:rsidRPr="005810C1">
                    <w:rPr>
                      <w:b/>
                      <w:bCs/>
                      <w:szCs w:val="18"/>
                    </w:rPr>
                    <w:t>10.000.000</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3B4DF6" w:rsidRPr="005810C1" w:rsidRDefault="003B4DF6" w:rsidP="0096106A">
                  <w:pPr>
                    <w:jc w:val="right"/>
                    <w:rPr>
                      <w:b/>
                      <w:bCs/>
                      <w:szCs w:val="18"/>
                    </w:rPr>
                  </w:pPr>
                  <w:r w:rsidRPr="005810C1">
                    <w:rPr>
                      <w:b/>
                      <w:bCs/>
                      <w:szCs w:val="18"/>
                    </w:rPr>
                    <w:t>100</w:t>
                  </w:r>
                </w:p>
              </w:tc>
              <w:tc>
                <w:tcPr>
                  <w:tcW w:w="1984" w:type="dxa"/>
                  <w:tcBorders>
                    <w:top w:val="nil"/>
                    <w:left w:val="nil"/>
                    <w:bottom w:val="single" w:sz="8" w:space="0" w:color="auto"/>
                    <w:right w:val="single" w:sz="8" w:space="0" w:color="auto"/>
                  </w:tcBorders>
                  <w:shd w:val="clear" w:color="auto" w:fill="D9D9D9"/>
                  <w:noWrap/>
                  <w:vAlign w:val="bottom"/>
                  <w:hideMark/>
                </w:tcPr>
                <w:p w:rsidR="003B4DF6" w:rsidRPr="005810C1" w:rsidRDefault="003B4DF6" w:rsidP="0096106A">
                  <w:pPr>
                    <w:jc w:val="right"/>
                    <w:rPr>
                      <w:b/>
                      <w:bCs/>
                      <w:szCs w:val="18"/>
                    </w:rPr>
                  </w:pPr>
                  <w:r w:rsidRPr="005810C1">
                    <w:rPr>
                      <w:b/>
                      <w:bCs/>
                      <w:szCs w:val="18"/>
                    </w:rPr>
                    <w:t xml:space="preserve"> 10.000.000 </w:t>
                  </w:r>
                </w:p>
              </w:tc>
            </w:tr>
          </w:tbl>
          <w:p w:rsidR="003B4DF6" w:rsidRDefault="003B4DF6" w:rsidP="0096106A">
            <w:pPr>
              <w:keepNext/>
            </w:pPr>
          </w:p>
          <w:p w:rsidR="003B4DF6" w:rsidRDefault="003B4DF6" w:rsidP="0096106A">
            <w:pPr>
              <w:keepNext/>
            </w:pPr>
            <w:r>
              <w:t>Viborgs borgmester har tilkendegivet, at ville indstille til Byrådet, at kommunen vil bidrage med det beløb, som står anført i tabellen ovenfor. De øvrige kommuner betaler for</w:t>
            </w:r>
            <w:r>
              <w:t>t</w:t>
            </w:r>
            <w:r>
              <w:t>sat det beløb, som svarer til deres ejerandele.</w:t>
            </w:r>
          </w:p>
          <w:p w:rsidR="003B4DF6" w:rsidRDefault="003B4DF6" w:rsidP="0096106A">
            <w:pPr>
              <w:keepNext/>
            </w:pPr>
          </w:p>
          <w:p w:rsidR="003B4DF6" w:rsidRDefault="003B4DF6" w:rsidP="0096106A">
            <w:pPr>
              <w:keepNext/>
            </w:pPr>
            <w:r>
              <w:t>I nedenstående tabel er de fire fordelingsnøgler samlet i én tabel.</w:t>
            </w:r>
          </w:p>
          <w:p w:rsidR="003B4DF6" w:rsidRDefault="003B4DF6" w:rsidP="0096106A">
            <w:pPr>
              <w:keepNext/>
            </w:pPr>
          </w:p>
          <w:tbl>
            <w:tblPr>
              <w:tblW w:w="8495" w:type="dxa"/>
              <w:tblLayout w:type="fixed"/>
              <w:tblCellMar>
                <w:left w:w="70" w:type="dxa"/>
                <w:right w:w="70" w:type="dxa"/>
              </w:tblCellMar>
              <w:tblLook w:val="04A0"/>
            </w:tblPr>
            <w:tblGrid>
              <w:gridCol w:w="1691"/>
              <w:gridCol w:w="1701"/>
              <w:gridCol w:w="1701"/>
              <w:gridCol w:w="1701"/>
              <w:gridCol w:w="1701"/>
            </w:tblGrid>
            <w:tr w:rsidR="003B4DF6" w:rsidRPr="005810C1" w:rsidTr="0096106A">
              <w:trPr>
                <w:trHeight w:val="1462"/>
              </w:trPr>
              <w:tc>
                <w:tcPr>
                  <w:tcW w:w="1691" w:type="dxa"/>
                  <w:tcBorders>
                    <w:top w:val="single" w:sz="8" w:space="0" w:color="auto"/>
                    <w:left w:val="single" w:sz="8" w:space="0" w:color="auto"/>
                    <w:bottom w:val="single" w:sz="8" w:space="0" w:color="auto"/>
                    <w:right w:val="single" w:sz="8" w:space="0" w:color="auto"/>
                  </w:tcBorders>
                  <w:shd w:val="clear" w:color="auto" w:fill="auto"/>
                  <w:hideMark/>
                </w:tcPr>
                <w:p w:rsidR="003B4DF6" w:rsidRPr="005810C1" w:rsidRDefault="003B4DF6" w:rsidP="0096106A">
                  <w:pPr>
                    <w:jc w:val="center"/>
                    <w:rPr>
                      <w:b/>
                      <w:bCs/>
                      <w:szCs w:val="18"/>
                    </w:rPr>
                  </w:pPr>
                  <w:r w:rsidRPr="005810C1">
                    <w:rPr>
                      <w:b/>
                      <w:bCs/>
                      <w:szCs w:val="18"/>
                    </w:rPr>
                    <w:t>Andelshav</w:t>
                  </w:r>
                  <w:r w:rsidRPr="005810C1">
                    <w:rPr>
                      <w:b/>
                      <w:bCs/>
                      <w:szCs w:val="18"/>
                    </w:rPr>
                    <w:t>e</w:t>
                  </w:r>
                  <w:r w:rsidRPr="005810C1">
                    <w:rPr>
                      <w:b/>
                      <w:bCs/>
                      <w:szCs w:val="18"/>
                    </w:rPr>
                    <w:t>re</w:t>
                  </w:r>
                </w:p>
              </w:tc>
              <w:tc>
                <w:tcPr>
                  <w:tcW w:w="1701" w:type="dxa"/>
                  <w:tcBorders>
                    <w:top w:val="single" w:sz="8" w:space="0" w:color="auto"/>
                    <w:left w:val="nil"/>
                    <w:bottom w:val="single" w:sz="8" w:space="0" w:color="auto"/>
                    <w:right w:val="single" w:sz="8" w:space="0" w:color="auto"/>
                  </w:tcBorders>
                  <w:shd w:val="clear" w:color="000000" w:fill="FFFFFF"/>
                  <w:hideMark/>
                </w:tcPr>
                <w:p w:rsidR="003B4DF6" w:rsidRPr="005810C1" w:rsidRDefault="003B4DF6" w:rsidP="0096106A">
                  <w:pPr>
                    <w:jc w:val="center"/>
                    <w:rPr>
                      <w:b/>
                      <w:bCs/>
                      <w:szCs w:val="18"/>
                    </w:rPr>
                  </w:pPr>
                  <w:r w:rsidRPr="005810C1">
                    <w:rPr>
                      <w:b/>
                      <w:bCs/>
                      <w:szCs w:val="18"/>
                    </w:rPr>
                    <w:t>Ejerandele</w:t>
                  </w:r>
                </w:p>
              </w:tc>
              <w:tc>
                <w:tcPr>
                  <w:tcW w:w="1701" w:type="dxa"/>
                  <w:tcBorders>
                    <w:top w:val="single" w:sz="8" w:space="0" w:color="auto"/>
                    <w:left w:val="nil"/>
                    <w:bottom w:val="single" w:sz="8" w:space="0" w:color="auto"/>
                    <w:right w:val="single" w:sz="8" w:space="0" w:color="auto"/>
                  </w:tcBorders>
                  <w:shd w:val="clear" w:color="000000" w:fill="FFFFFF"/>
                  <w:hideMark/>
                </w:tcPr>
                <w:p w:rsidR="003B4DF6" w:rsidRPr="005810C1" w:rsidRDefault="003B4DF6" w:rsidP="0096106A">
                  <w:pPr>
                    <w:jc w:val="center"/>
                    <w:rPr>
                      <w:b/>
                      <w:bCs/>
                      <w:szCs w:val="18"/>
                    </w:rPr>
                  </w:pPr>
                  <w:r w:rsidRPr="005810C1">
                    <w:rPr>
                      <w:b/>
                      <w:bCs/>
                      <w:szCs w:val="18"/>
                    </w:rPr>
                    <w:t>Befolkning</w:t>
                  </w:r>
                  <w:r w:rsidRPr="005810C1">
                    <w:rPr>
                      <w:b/>
                      <w:bCs/>
                      <w:szCs w:val="18"/>
                    </w:rPr>
                    <w:t>s</w:t>
                  </w:r>
                  <w:r w:rsidRPr="005810C1">
                    <w:rPr>
                      <w:b/>
                      <w:bCs/>
                      <w:szCs w:val="18"/>
                    </w:rPr>
                    <w:t>tal</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3B4DF6" w:rsidRPr="005810C1" w:rsidRDefault="003B4DF6" w:rsidP="0096106A">
                  <w:pPr>
                    <w:rPr>
                      <w:b/>
                      <w:bCs/>
                      <w:szCs w:val="18"/>
                    </w:rPr>
                  </w:pPr>
                  <w:r w:rsidRPr="005810C1">
                    <w:rPr>
                      <w:b/>
                      <w:bCs/>
                      <w:szCs w:val="18"/>
                    </w:rPr>
                    <w:t>50 % ejera</w:t>
                  </w:r>
                  <w:r w:rsidRPr="005810C1">
                    <w:rPr>
                      <w:b/>
                      <w:bCs/>
                      <w:szCs w:val="18"/>
                    </w:rPr>
                    <w:t>n</w:t>
                  </w:r>
                  <w:r w:rsidRPr="005810C1">
                    <w:rPr>
                      <w:b/>
                      <w:bCs/>
                      <w:szCs w:val="18"/>
                    </w:rPr>
                    <w:t>del + 50 % befol</w:t>
                  </w:r>
                  <w:r w:rsidRPr="005810C1">
                    <w:rPr>
                      <w:b/>
                      <w:bCs/>
                      <w:szCs w:val="18"/>
                    </w:rPr>
                    <w:t>k</w:t>
                  </w:r>
                  <w:r w:rsidRPr="005810C1">
                    <w:rPr>
                      <w:b/>
                      <w:bCs/>
                      <w:szCs w:val="18"/>
                    </w:rPr>
                    <w:t>ningstal</w:t>
                  </w:r>
                </w:p>
                <w:p w:rsidR="003B4DF6" w:rsidRDefault="003B4DF6" w:rsidP="0096106A">
                  <w:pPr>
                    <w:rPr>
                      <w:b/>
                      <w:bCs/>
                      <w:szCs w:val="18"/>
                    </w:rPr>
                  </w:pPr>
                </w:p>
                <w:p w:rsidR="003B4DF6" w:rsidRDefault="003B4DF6" w:rsidP="0096106A">
                  <w:pPr>
                    <w:rPr>
                      <w:b/>
                      <w:bCs/>
                      <w:szCs w:val="18"/>
                    </w:rPr>
                  </w:pPr>
                </w:p>
                <w:p w:rsidR="003B4DF6" w:rsidRDefault="003B4DF6" w:rsidP="0096106A">
                  <w:pPr>
                    <w:rPr>
                      <w:b/>
                      <w:bCs/>
                      <w:szCs w:val="18"/>
                    </w:rPr>
                  </w:pPr>
                </w:p>
                <w:p w:rsidR="003B4DF6" w:rsidRDefault="003B4DF6" w:rsidP="0096106A">
                  <w:pPr>
                    <w:rPr>
                      <w:b/>
                      <w:bCs/>
                      <w:szCs w:val="18"/>
                    </w:rPr>
                  </w:pPr>
                </w:p>
                <w:p w:rsidR="003B4DF6" w:rsidRPr="005810C1" w:rsidRDefault="003B4DF6" w:rsidP="0096106A">
                  <w:pPr>
                    <w:rPr>
                      <w:b/>
                      <w:bCs/>
                      <w:szCs w:val="18"/>
                    </w:rPr>
                  </w:pPr>
                </w:p>
              </w:tc>
              <w:tc>
                <w:tcPr>
                  <w:tcW w:w="1701" w:type="dxa"/>
                  <w:tcBorders>
                    <w:top w:val="single" w:sz="8" w:space="0" w:color="auto"/>
                    <w:left w:val="nil"/>
                    <w:bottom w:val="single" w:sz="8" w:space="0" w:color="auto"/>
                    <w:right w:val="single" w:sz="8" w:space="0" w:color="auto"/>
                  </w:tcBorders>
                  <w:shd w:val="clear" w:color="auto" w:fill="548DD4"/>
                  <w:vAlign w:val="bottom"/>
                  <w:hideMark/>
                </w:tcPr>
                <w:p w:rsidR="003B4DF6" w:rsidRDefault="003B4DF6" w:rsidP="0096106A">
                  <w:pPr>
                    <w:rPr>
                      <w:b/>
                      <w:bCs/>
                      <w:szCs w:val="18"/>
                    </w:rPr>
                  </w:pPr>
                  <w:r>
                    <w:rPr>
                      <w:b/>
                      <w:bCs/>
                      <w:szCs w:val="18"/>
                    </w:rPr>
                    <w:t>D</w:t>
                  </w:r>
                  <w:r w:rsidRPr="005810C1">
                    <w:rPr>
                      <w:b/>
                      <w:bCs/>
                      <w:szCs w:val="18"/>
                    </w:rPr>
                    <w:t xml:space="preserve">en </w:t>
                  </w:r>
                  <w:r>
                    <w:rPr>
                      <w:b/>
                      <w:bCs/>
                      <w:szCs w:val="18"/>
                    </w:rPr>
                    <w:t>af fo</w:t>
                  </w:r>
                  <w:r>
                    <w:rPr>
                      <w:b/>
                      <w:bCs/>
                      <w:szCs w:val="18"/>
                    </w:rPr>
                    <w:t>r</w:t>
                  </w:r>
                  <w:r>
                    <w:rPr>
                      <w:b/>
                      <w:bCs/>
                      <w:szCs w:val="18"/>
                    </w:rPr>
                    <w:t>mand og næs</w:t>
                  </w:r>
                  <w:r>
                    <w:rPr>
                      <w:b/>
                      <w:bCs/>
                      <w:szCs w:val="18"/>
                    </w:rPr>
                    <w:t>t</w:t>
                  </w:r>
                  <w:r>
                    <w:rPr>
                      <w:b/>
                      <w:bCs/>
                      <w:szCs w:val="18"/>
                    </w:rPr>
                    <w:t>formand i fo</w:t>
                  </w:r>
                  <w:r>
                    <w:rPr>
                      <w:b/>
                      <w:bCs/>
                      <w:szCs w:val="18"/>
                    </w:rPr>
                    <w:t>r</w:t>
                  </w:r>
                  <w:r>
                    <w:rPr>
                      <w:b/>
                      <w:bCs/>
                      <w:szCs w:val="18"/>
                    </w:rPr>
                    <w:t>retningsudva</w:t>
                  </w:r>
                  <w:r>
                    <w:rPr>
                      <w:b/>
                      <w:bCs/>
                      <w:szCs w:val="18"/>
                    </w:rPr>
                    <w:t>l</w:t>
                  </w:r>
                  <w:r>
                    <w:rPr>
                      <w:b/>
                      <w:bCs/>
                      <w:szCs w:val="18"/>
                    </w:rPr>
                    <w:t xml:space="preserve">get </w:t>
                  </w:r>
                  <w:r w:rsidRPr="005810C1">
                    <w:rPr>
                      <w:b/>
                      <w:bCs/>
                      <w:szCs w:val="18"/>
                    </w:rPr>
                    <w:t>foreslåede ford</w:t>
                  </w:r>
                  <w:r w:rsidRPr="005810C1">
                    <w:rPr>
                      <w:b/>
                      <w:bCs/>
                      <w:szCs w:val="18"/>
                    </w:rPr>
                    <w:t>e</w:t>
                  </w:r>
                  <w:r w:rsidRPr="005810C1">
                    <w:rPr>
                      <w:b/>
                      <w:bCs/>
                      <w:szCs w:val="18"/>
                    </w:rPr>
                    <w:t>ling</w:t>
                  </w:r>
                </w:p>
                <w:p w:rsidR="003B4DF6" w:rsidRPr="005810C1" w:rsidRDefault="003B4DF6" w:rsidP="0096106A">
                  <w:pPr>
                    <w:rPr>
                      <w:b/>
                      <w:bCs/>
                      <w:szCs w:val="18"/>
                    </w:rPr>
                  </w:pPr>
                </w:p>
                <w:p w:rsidR="003B4DF6" w:rsidRPr="005810C1" w:rsidRDefault="003B4DF6" w:rsidP="0096106A">
                  <w:pPr>
                    <w:rPr>
                      <w:b/>
                      <w:bCs/>
                      <w:szCs w:val="18"/>
                    </w:rPr>
                  </w:pP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C6D9F1"/>
                  <w:hideMark/>
                </w:tcPr>
                <w:p w:rsidR="003B4DF6" w:rsidRPr="005810C1" w:rsidRDefault="003B4DF6" w:rsidP="0096106A">
                  <w:pPr>
                    <w:rPr>
                      <w:szCs w:val="18"/>
                    </w:rPr>
                  </w:pPr>
                </w:p>
              </w:tc>
              <w:tc>
                <w:tcPr>
                  <w:tcW w:w="1701" w:type="dxa"/>
                  <w:tcBorders>
                    <w:top w:val="nil"/>
                    <w:left w:val="nil"/>
                    <w:bottom w:val="single" w:sz="8" w:space="0" w:color="auto"/>
                    <w:right w:val="single" w:sz="8" w:space="0" w:color="auto"/>
                  </w:tcBorders>
                  <w:shd w:val="clear" w:color="auto" w:fill="C6D9F1"/>
                  <w:hideMark/>
                </w:tcPr>
                <w:p w:rsidR="003B4DF6" w:rsidRPr="005810C1" w:rsidRDefault="003B4DF6" w:rsidP="0096106A">
                  <w:pPr>
                    <w:jc w:val="right"/>
                    <w:rPr>
                      <w:b/>
                      <w:szCs w:val="18"/>
                    </w:rPr>
                  </w:pPr>
                  <w:r w:rsidRPr="005810C1">
                    <w:rPr>
                      <w:b/>
                      <w:szCs w:val="18"/>
                    </w:rPr>
                    <w:t>Model 1</w:t>
                  </w:r>
                </w:p>
              </w:tc>
              <w:tc>
                <w:tcPr>
                  <w:tcW w:w="1701" w:type="dxa"/>
                  <w:tcBorders>
                    <w:top w:val="nil"/>
                    <w:left w:val="nil"/>
                    <w:bottom w:val="single" w:sz="8" w:space="0" w:color="auto"/>
                    <w:right w:val="single" w:sz="8" w:space="0" w:color="auto"/>
                  </w:tcBorders>
                  <w:shd w:val="clear" w:color="auto" w:fill="C6D9F1"/>
                  <w:hideMark/>
                </w:tcPr>
                <w:p w:rsidR="003B4DF6" w:rsidRPr="005810C1" w:rsidRDefault="003B4DF6" w:rsidP="0096106A">
                  <w:pPr>
                    <w:jc w:val="right"/>
                    <w:rPr>
                      <w:b/>
                      <w:szCs w:val="18"/>
                    </w:rPr>
                  </w:pPr>
                  <w:r w:rsidRPr="005810C1">
                    <w:rPr>
                      <w:b/>
                      <w:szCs w:val="18"/>
                    </w:rPr>
                    <w:t>Model 2</w:t>
                  </w:r>
                </w:p>
              </w:tc>
              <w:tc>
                <w:tcPr>
                  <w:tcW w:w="1701" w:type="dxa"/>
                  <w:tcBorders>
                    <w:top w:val="nil"/>
                    <w:left w:val="nil"/>
                    <w:bottom w:val="single" w:sz="8" w:space="0" w:color="auto"/>
                    <w:right w:val="single" w:sz="8" w:space="0" w:color="auto"/>
                  </w:tcBorders>
                  <w:shd w:val="clear" w:color="auto" w:fill="C6D9F1"/>
                  <w:noWrap/>
                  <w:vAlign w:val="bottom"/>
                  <w:hideMark/>
                </w:tcPr>
                <w:p w:rsidR="003B4DF6" w:rsidRDefault="003B4DF6" w:rsidP="0096106A">
                  <w:pPr>
                    <w:jc w:val="right"/>
                    <w:rPr>
                      <w:b/>
                      <w:szCs w:val="18"/>
                    </w:rPr>
                  </w:pPr>
                  <w:r w:rsidRPr="005810C1">
                    <w:rPr>
                      <w:b/>
                      <w:szCs w:val="18"/>
                    </w:rPr>
                    <w:t>Model 3</w:t>
                  </w:r>
                </w:p>
                <w:p w:rsidR="003B4DF6" w:rsidRPr="005810C1" w:rsidRDefault="003B4DF6" w:rsidP="0096106A">
                  <w:pPr>
                    <w:jc w:val="right"/>
                    <w:rPr>
                      <w:b/>
                      <w:szCs w:val="18"/>
                    </w:rPr>
                  </w:pPr>
                </w:p>
              </w:tc>
              <w:tc>
                <w:tcPr>
                  <w:tcW w:w="1701" w:type="dxa"/>
                  <w:tcBorders>
                    <w:top w:val="nil"/>
                    <w:left w:val="nil"/>
                    <w:bottom w:val="single" w:sz="8" w:space="0" w:color="auto"/>
                    <w:right w:val="single" w:sz="8" w:space="0" w:color="auto"/>
                  </w:tcBorders>
                  <w:shd w:val="clear" w:color="auto" w:fill="C6D9F1"/>
                  <w:noWrap/>
                  <w:vAlign w:val="bottom"/>
                  <w:hideMark/>
                </w:tcPr>
                <w:p w:rsidR="003B4DF6" w:rsidRDefault="003B4DF6" w:rsidP="0096106A">
                  <w:pPr>
                    <w:jc w:val="right"/>
                    <w:rPr>
                      <w:b/>
                      <w:szCs w:val="18"/>
                    </w:rPr>
                  </w:pPr>
                  <w:r w:rsidRPr="005810C1">
                    <w:rPr>
                      <w:b/>
                      <w:szCs w:val="18"/>
                    </w:rPr>
                    <w:t>Model 4</w:t>
                  </w:r>
                </w:p>
                <w:p w:rsidR="003B4DF6" w:rsidRPr="005810C1" w:rsidRDefault="003B4DF6" w:rsidP="0096106A">
                  <w:pPr>
                    <w:jc w:val="right"/>
                    <w:rPr>
                      <w:b/>
                      <w:szCs w:val="18"/>
                    </w:rPr>
                  </w:pP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Herning</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2.798.000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1.674.089</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2.236.044</w:t>
                  </w:r>
                </w:p>
              </w:tc>
              <w:tc>
                <w:tcPr>
                  <w:tcW w:w="1701" w:type="dxa"/>
                  <w:tcBorders>
                    <w:top w:val="nil"/>
                    <w:left w:val="nil"/>
                    <w:bottom w:val="single" w:sz="8" w:space="0" w:color="auto"/>
                    <w:right w:val="single" w:sz="8" w:space="0" w:color="auto"/>
                  </w:tcBorders>
                  <w:shd w:val="clear" w:color="auto" w:fill="548DD4"/>
                  <w:noWrap/>
                  <w:vAlign w:val="bottom"/>
                  <w:hideMark/>
                </w:tcPr>
                <w:p w:rsidR="003B4DF6" w:rsidRPr="005810C1" w:rsidRDefault="003B4DF6" w:rsidP="0096106A">
                  <w:pPr>
                    <w:jc w:val="right"/>
                    <w:rPr>
                      <w:szCs w:val="18"/>
                    </w:rPr>
                  </w:pPr>
                  <w:r w:rsidRPr="005810C1">
                    <w:rPr>
                      <w:szCs w:val="18"/>
                    </w:rPr>
                    <w:t>2.027.500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Holstebro</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1.856.000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1.109.405</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1.482.703</w:t>
                  </w: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1.856.000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Ikast – Bra</w:t>
                  </w:r>
                  <w:r w:rsidRPr="005810C1">
                    <w:rPr>
                      <w:szCs w:val="18"/>
                    </w:rPr>
                    <w:t>n</w:t>
                  </w:r>
                  <w:r w:rsidRPr="005810C1">
                    <w:rPr>
                      <w:szCs w:val="18"/>
                    </w:rPr>
                    <w:t>de</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932.000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786.201</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859.100</w:t>
                  </w: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932.000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Lemvig</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367.000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412.597</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389.799</w:t>
                  </w: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367.000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lastRenderedPageBreak/>
                    <w:t>Ringkøbing – Skjern</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732.000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1.118.737</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keepNext/>
                    <w:jc w:val="right"/>
                    <w:rPr>
                      <w:szCs w:val="18"/>
                    </w:rPr>
                  </w:pPr>
                  <w:r w:rsidRPr="005810C1">
                    <w:rPr>
                      <w:szCs w:val="18"/>
                    </w:rPr>
                    <w:t>925.369</w:t>
                  </w:r>
                </w:p>
                <w:p w:rsidR="003B4DF6" w:rsidRPr="005810C1" w:rsidRDefault="003B4DF6" w:rsidP="0096106A">
                  <w:pPr>
                    <w:rPr>
                      <w:szCs w:val="18"/>
                    </w:rPr>
                  </w:pP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732.000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Silkeborg</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700.000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1.729.657</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1.214.828</w:t>
                  </w: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700.000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Skive</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800.000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919.835</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859.917</w:t>
                  </w: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800.000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Struer</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558.000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427.545</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492.772</w:t>
                  </w:r>
                </w:p>
              </w:tc>
              <w:tc>
                <w:tcPr>
                  <w:tcW w:w="1701" w:type="dxa"/>
                  <w:tcBorders>
                    <w:top w:val="nil"/>
                    <w:left w:val="nil"/>
                    <w:bottom w:val="single" w:sz="8" w:space="0" w:color="auto"/>
                    <w:right w:val="single" w:sz="8" w:space="0" w:color="auto"/>
                  </w:tcBorders>
                  <w:shd w:val="clear" w:color="auto" w:fill="548DD4"/>
                  <w:hideMark/>
                </w:tcPr>
                <w:p w:rsidR="003B4DF6" w:rsidRPr="005810C1" w:rsidRDefault="003B4DF6" w:rsidP="0096106A">
                  <w:pPr>
                    <w:jc w:val="right"/>
                    <w:rPr>
                      <w:szCs w:val="18"/>
                    </w:rPr>
                  </w:pPr>
                  <w:r w:rsidRPr="005810C1">
                    <w:rPr>
                      <w:szCs w:val="18"/>
                    </w:rPr>
                    <w:t>558.000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szCs w:val="18"/>
                    </w:rPr>
                  </w:pPr>
                  <w:r w:rsidRPr="005810C1">
                    <w:rPr>
                      <w:szCs w:val="18"/>
                    </w:rPr>
                    <w:t>Viborg</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1.257.000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szCs w:val="18"/>
                    </w:rPr>
                  </w:pPr>
                  <w:r w:rsidRPr="005810C1">
                    <w:rPr>
                      <w:szCs w:val="18"/>
                    </w:rPr>
                    <w:t>1.821.934</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szCs w:val="18"/>
                    </w:rPr>
                  </w:pPr>
                  <w:r w:rsidRPr="005810C1">
                    <w:rPr>
                      <w:szCs w:val="18"/>
                    </w:rPr>
                    <w:t>1.539.467</w:t>
                  </w:r>
                </w:p>
              </w:tc>
              <w:tc>
                <w:tcPr>
                  <w:tcW w:w="1701" w:type="dxa"/>
                  <w:tcBorders>
                    <w:top w:val="nil"/>
                    <w:left w:val="nil"/>
                    <w:bottom w:val="single" w:sz="8" w:space="0" w:color="auto"/>
                    <w:right w:val="single" w:sz="8" w:space="0" w:color="auto"/>
                  </w:tcBorders>
                  <w:shd w:val="clear" w:color="auto" w:fill="548DD4"/>
                  <w:noWrap/>
                  <w:vAlign w:val="bottom"/>
                  <w:hideMark/>
                </w:tcPr>
                <w:p w:rsidR="003B4DF6" w:rsidRPr="005810C1" w:rsidRDefault="003B4DF6" w:rsidP="0096106A">
                  <w:pPr>
                    <w:jc w:val="right"/>
                    <w:rPr>
                      <w:szCs w:val="18"/>
                    </w:rPr>
                  </w:pPr>
                  <w:r w:rsidRPr="005810C1">
                    <w:rPr>
                      <w:szCs w:val="18"/>
                    </w:rPr>
                    <w:t>2.027.500</w:t>
                  </w:r>
                </w:p>
              </w:tc>
            </w:tr>
            <w:tr w:rsidR="003B4DF6" w:rsidRPr="005810C1" w:rsidTr="0096106A">
              <w:trPr>
                <w:trHeight w:val="330"/>
              </w:trPr>
              <w:tc>
                <w:tcPr>
                  <w:tcW w:w="1691" w:type="dxa"/>
                  <w:tcBorders>
                    <w:top w:val="nil"/>
                    <w:left w:val="single" w:sz="8" w:space="0" w:color="auto"/>
                    <w:bottom w:val="single" w:sz="8" w:space="0" w:color="auto"/>
                    <w:right w:val="single" w:sz="8" w:space="0" w:color="auto"/>
                  </w:tcBorders>
                  <w:shd w:val="clear" w:color="auto" w:fill="auto"/>
                  <w:hideMark/>
                </w:tcPr>
                <w:p w:rsidR="003B4DF6" w:rsidRPr="005810C1" w:rsidRDefault="003B4DF6" w:rsidP="0096106A">
                  <w:pPr>
                    <w:rPr>
                      <w:b/>
                      <w:bCs/>
                      <w:szCs w:val="18"/>
                    </w:rPr>
                  </w:pPr>
                  <w:r w:rsidRPr="005810C1">
                    <w:rPr>
                      <w:b/>
                      <w:bCs/>
                      <w:szCs w:val="18"/>
                    </w:rPr>
                    <w:t xml:space="preserve">I alt </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b/>
                      <w:szCs w:val="18"/>
                    </w:rPr>
                  </w:pPr>
                  <w:r w:rsidRPr="005810C1">
                    <w:rPr>
                      <w:b/>
                      <w:szCs w:val="18"/>
                    </w:rPr>
                    <w:t>10.000.000</w:t>
                  </w:r>
                </w:p>
              </w:tc>
              <w:tc>
                <w:tcPr>
                  <w:tcW w:w="1701" w:type="dxa"/>
                  <w:tcBorders>
                    <w:top w:val="nil"/>
                    <w:left w:val="nil"/>
                    <w:bottom w:val="single" w:sz="8" w:space="0" w:color="auto"/>
                    <w:right w:val="single" w:sz="8" w:space="0" w:color="auto"/>
                  </w:tcBorders>
                  <w:shd w:val="clear" w:color="000000" w:fill="FFFFFF"/>
                  <w:hideMark/>
                </w:tcPr>
                <w:p w:rsidR="003B4DF6" w:rsidRPr="005810C1" w:rsidRDefault="003B4DF6" w:rsidP="0096106A">
                  <w:pPr>
                    <w:jc w:val="right"/>
                    <w:rPr>
                      <w:b/>
                      <w:szCs w:val="18"/>
                    </w:rPr>
                  </w:pPr>
                  <w:r w:rsidRPr="005810C1">
                    <w:rPr>
                      <w:b/>
                      <w:szCs w:val="18"/>
                    </w:rPr>
                    <w:t>10.000.000</w:t>
                  </w:r>
                </w:p>
              </w:tc>
              <w:tc>
                <w:tcPr>
                  <w:tcW w:w="1701" w:type="dxa"/>
                  <w:tcBorders>
                    <w:top w:val="nil"/>
                    <w:left w:val="nil"/>
                    <w:bottom w:val="single" w:sz="8" w:space="0" w:color="auto"/>
                    <w:right w:val="single" w:sz="8" w:space="0" w:color="auto"/>
                  </w:tcBorders>
                  <w:shd w:val="clear" w:color="000000" w:fill="FFFFFF"/>
                  <w:noWrap/>
                  <w:vAlign w:val="bottom"/>
                  <w:hideMark/>
                </w:tcPr>
                <w:p w:rsidR="003B4DF6" w:rsidRPr="005810C1" w:rsidRDefault="003B4DF6" w:rsidP="0096106A">
                  <w:pPr>
                    <w:jc w:val="right"/>
                    <w:rPr>
                      <w:b/>
                      <w:szCs w:val="18"/>
                    </w:rPr>
                  </w:pPr>
                  <w:r w:rsidRPr="005810C1">
                    <w:rPr>
                      <w:b/>
                      <w:szCs w:val="18"/>
                    </w:rPr>
                    <w:t>10.000.000</w:t>
                  </w:r>
                </w:p>
              </w:tc>
              <w:tc>
                <w:tcPr>
                  <w:tcW w:w="1701" w:type="dxa"/>
                  <w:tcBorders>
                    <w:top w:val="nil"/>
                    <w:left w:val="nil"/>
                    <w:bottom w:val="single" w:sz="8" w:space="0" w:color="auto"/>
                    <w:right w:val="single" w:sz="8" w:space="0" w:color="auto"/>
                  </w:tcBorders>
                  <w:shd w:val="clear" w:color="auto" w:fill="548DD4"/>
                  <w:noWrap/>
                  <w:vAlign w:val="bottom"/>
                  <w:hideMark/>
                </w:tcPr>
                <w:p w:rsidR="003B4DF6" w:rsidRPr="005810C1" w:rsidRDefault="003B4DF6" w:rsidP="0096106A">
                  <w:pPr>
                    <w:jc w:val="right"/>
                    <w:rPr>
                      <w:b/>
                      <w:szCs w:val="18"/>
                    </w:rPr>
                  </w:pPr>
                  <w:r w:rsidRPr="005810C1">
                    <w:rPr>
                      <w:b/>
                      <w:szCs w:val="18"/>
                    </w:rPr>
                    <w:t>10.000.000</w:t>
                  </w:r>
                </w:p>
              </w:tc>
            </w:tr>
          </w:tbl>
          <w:p w:rsidR="003B4DF6" w:rsidRDefault="003B4DF6" w:rsidP="0096106A">
            <w:pPr>
              <w:keepNext/>
            </w:pPr>
          </w:p>
          <w:p w:rsidR="003B4DF6" w:rsidRDefault="003B4DF6" w:rsidP="0096106A">
            <w:pPr>
              <w:keepNext/>
            </w:pPr>
            <w:r>
              <w:t xml:space="preserve">Det betyder for Ikast-Brande Kommunes vedkommende </w:t>
            </w:r>
            <w:proofErr w:type="gramStart"/>
            <w:r>
              <w:t>at  466</w:t>
            </w:r>
            <w:proofErr w:type="gramEnd"/>
            <w:r>
              <w:t>.000 kr. skal udbet</w:t>
            </w:r>
            <w:r>
              <w:t>a</w:t>
            </w:r>
            <w:r>
              <w:t>les til Karup Lufthavn nu, mens de resterende 466.000 kr. stilles som garanti i forhold til et eventuelt s</w:t>
            </w:r>
            <w:r>
              <w:t>e</w:t>
            </w:r>
            <w:r>
              <w:t>nere behov.</w:t>
            </w:r>
          </w:p>
          <w:p w:rsidR="003B4DF6" w:rsidRPr="00C84050" w:rsidRDefault="003B4DF6" w:rsidP="0096106A">
            <w:pPr>
              <w:keepNext/>
              <w:rPr>
                <w:sz w:val="16"/>
              </w:rPr>
            </w:pPr>
            <w:r>
              <w:rPr>
                <w:rFonts w:cs="Helv"/>
              </w:rPr>
              <w:t>Garantien løber i 10 år, det vil sige til udgangen af 2022.</w:t>
            </w:r>
          </w:p>
          <w:p w:rsidR="003B4DF6" w:rsidRDefault="003B4DF6" w:rsidP="0096106A">
            <w:pPr>
              <w:keepNext/>
            </w:pPr>
          </w:p>
          <w:p w:rsidR="003B4DF6" w:rsidRDefault="003B4DF6" w:rsidP="0096106A">
            <w:pPr>
              <w:keepNext/>
            </w:pPr>
            <w:r>
              <w:t>Parallelt med kapitaludvidelsen vil Karup Lufthavn arbejde med følgende tiltag:</w:t>
            </w:r>
          </w:p>
          <w:p w:rsidR="003B4DF6" w:rsidRDefault="003B4DF6" w:rsidP="003B4DF6">
            <w:pPr>
              <w:keepNext/>
              <w:numPr>
                <w:ilvl w:val="0"/>
                <w:numId w:val="2"/>
              </w:numPr>
              <w:overflowPunct w:val="0"/>
              <w:autoSpaceDE w:val="0"/>
              <w:spacing w:line="280" w:lineRule="exact"/>
              <w:textAlignment w:val="baseline"/>
            </w:pPr>
            <w:r>
              <w:t>Flere flyvninger fra/til Karup Lufthavn</w:t>
            </w:r>
          </w:p>
          <w:p w:rsidR="003B4DF6" w:rsidRDefault="003B4DF6" w:rsidP="003B4DF6">
            <w:pPr>
              <w:keepNext/>
              <w:numPr>
                <w:ilvl w:val="0"/>
                <w:numId w:val="2"/>
              </w:numPr>
              <w:overflowPunct w:val="0"/>
              <w:autoSpaceDE w:val="0"/>
              <w:spacing w:line="280" w:lineRule="exact"/>
              <w:textAlignment w:val="baseline"/>
            </w:pPr>
            <w:r>
              <w:t>En øget markedsføring af Midtjylland i København. Lufthavnen er i dialog med K</w:t>
            </w:r>
            <w:r>
              <w:t>ø</w:t>
            </w:r>
            <w:r>
              <w:t>benhavns Lufthavn og de midtjyske turistbureauer omkring markedsføring af forske</w:t>
            </w:r>
            <w:r>
              <w:t>l</w:t>
            </w:r>
            <w:r>
              <w:t>lige pakkerejser/-weekender. Der tages kontakt til Visit Denmark</w:t>
            </w:r>
          </w:p>
          <w:p w:rsidR="003B4DF6" w:rsidRDefault="003B4DF6" w:rsidP="003B4DF6">
            <w:pPr>
              <w:keepNext/>
              <w:numPr>
                <w:ilvl w:val="0"/>
                <w:numId w:val="2"/>
              </w:numPr>
              <w:overflowPunct w:val="0"/>
              <w:autoSpaceDE w:val="0"/>
              <w:spacing w:line="280" w:lineRule="exact"/>
              <w:textAlignment w:val="baseline"/>
            </w:pPr>
            <w:proofErr w:type="spellStart"/>
            <w:r>
              <w:t>Bagage-gennemtjek</w:t>
            </w:r>
            <w:proofErr w:type="spellEnd"/>
            <w:r>
              <w:t xml:space="preserve">. I dag kan en passager fra Karup Lufthavn ikke </w:t>
            </w:r>
            <w:proofErr w:type="spellStart"/>
            <w:r>
              <w:t>checke</w:t>
            </w:r>
            <w:proofErr w:type="spellEnd"/>
            <w:r>
              <w:t xml:space="preserve"> sin b</w:t>
            </w:r>
            <w:r>
              <w:t>a</w:t>
            </w:r>
            <w:r>
              <w:t xml:space="preserve">gage ind helt til </w:t>
            </w:r>
            <w:proofErr w:type="spellStart"/>
            <w:r>
              <w:t>endedestinationen</w:t>
            </w:r>
            <w:proofErr w:type="spellEnd"/>
            <w:r>
              <w:t xml:space="preserve">, idet </w:t>
            </w:r>
            <w:proofErr w:type="spellStart"/>
            <w:r>
              <w:t>Norwegian</w:t>
            </w:r>
            <w:proofErr w:type="spellEnd"/>
            <w:r>
              <w:t xml:space="preserve"> </w:t>
            </w:r>
            <w:proofErr w:type="spellStart"/>
            <w:r>
              <w:t>Airshuttle</w:t>
            </w:r>
            <w:proofErr w:type="spellEnd"/>
            <w:r>
              <w:t xml:space="preserve"> ikke har en sådan aft</w:t>
            </w:r>
            <w:r>
              <w:t>a</w:t>
            </w:r>
            <w:r>
              <w:t>le med de øvrige flyselskaber. Der arbejdes intensivt på en løsning af denne udfo</w:t>
            </w:r>
            <w:r>
              <w:t>r</w:t>
            </w:r>
            <w:r>
              <w:t>dring</w:t>
            </w:r>
          </w:p>
          <w:p w:rsidR="003B4DF6" w:rsidRDefault="003B4DF6" w:rsidP="003B4DF6">
            <w:pPr>
              <w:keepNext/>
              <w:numPr>
                <w:ilvl w:val="0"/>
                <w:numId w:val="2"/>
              </w:numPr>
              <w:overflowPunct w:val="0"/>
              <w:autoSpaceDE w:val="0"/>
              <w:spacing w:line="280" w:lineRule="exact"/>
              <w:textAlignment w:val="baseline"/>
            </w:pPr>
            <w:r>
              <w:t>Undersøge om den offentlige transport til/fra Karup Lufthavn kan forbedres</w:t>
            </w:r>
          </w:p>
          <w:p w:rsidR="003B4DF6" w:rsidRDefault="003B4DF6" w:rsidP="0096106A">
            <w:pPr>
              <w:keepNext/>
            </w:pPr>
          </w:p>
        </w:tc>
      </w:tr>
      <w:tr w:rsidR="003B4DF6" w:rsidTr="0096106A">
        <w:tc>
          <w:tcPr>
            <w:tcW w:w="8505" w:type="dxa"/>
            <w:shd w:val="clear" w:color="auto" w:fill="auto"/>
          </w:tcPr>
          <w:p w:rsidR="003B4DF6" w:rsidRDefault="003B4DF6" w:rsidP="0096106A">
            <w:pPr>
              <w:pStyle w:val="IBKHeading"/>
              <w:snapToGrid w:val="0"/>
              <w:rPr>
                <w:lang w:val="da-DK"/>
              </w:rPr>
            </w:pPr>
            <w:bookmarkStart w:id="0" w:name="overskrift4"/>
            <w:r>
              <w:rPr>
                <w:lang w:val="da-DK"/>
              </w:rPr>
              <w:lastRenderedPageBreak/>
              <w:t>Budgetmæssige konsekvenser</w:t>
            </w:r>
          </w:p>
          <w:bookmarkEnd w:id="0"/>
          <w:p w:rsidR="003B4DF6" w:rsidRDefault="003B4DF6" w:rsidP="0096106A">
            <w:pPr>
              <w:keepNext/>
            </w:pPr>
            <w:r>
              <w:t>Hvis Ikast-Brande Kommunes andel på 932.000 kr. bevilges fra Byrådets pulje er der ingen budgetmæssige konsekvenser.</w:t>
            </w:r>
          </w:p>
          <w:p w:rsidR="003B4DF6" w:rsidRDefault="003B4DF6" w:rsidP="0096106A">
            <w:pPr>
              <w:keepNext/>
              <w:rPr>
                <w:rFonts w:cs="Helv"/>
              </w:rPr>
            </w:pPr>
          </w:p>
          <w:p w:rsidR="003B4DF6" w:rsidRDefault="003B4DF6" w:rsidP="0096106A">
            <w:pPr>
              <w:keepNext/>
            </w:pPr>
          </w:p>
        </w:tc>
      </w:tr>
    </w:tbl>
    <w:p w:rsidR="00262057" w:rsidRDefault="00262057"/>
    <w:sectPr w:rsidR="00262057" w:rsidSect="00960507">
      <w:pgSz w:w="11906" w:h="16838" w:code="9"/>
      <w:pgMar w:top="1701" w:right="1814" w:bottom="340" w:left="1814" w:header="709" w:footer="0" w:gutter="0"/>
      <w:paperSrc w:first="1" w:other="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88" w:rsidRDefault="00011A88">
      <w:r>
        <w:separator/>
      </w:r>
    </w:p>
  </w:endnote>
  <w:endnote w:type="continuationSeparator" w:id="0">
    <w:p w:rsidR="00011A88" w:rsidRDefault="00011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88" w:rsidRDefault="00011A88">
      <w:r>
        <w:separator/>
      </w:r>
    </w:p>
  </w:footnote>
  <w:footnote w:type="continuationSeparator" w:id="0">
    <w:p w:rsidR="00011A88" w:rsidRDefault="0001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CC"/>
    <w:multiLevelType w:val="hybridMultilevel"/>
    <w:tmpl w:val="B24A6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822171"/>
    <w:multiLevelType w:val="hybridMultilevel"/>
    <w:tmpl w:val="3C387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62057"/>
    <w:rsid w:val="00011A88"/>
    <w:rsid w:val="000522FE"/>
    <w:rsid w:val="00063A44"/>
    <w:rsid w:val="000E42B0"/>
    <w:rsid w:val="0010148A"/>
    <w:rsid w:val="001C21D2"/>
    <w:rsid w:val="00262057"/>
    <w:rsid w:val="002716F6"/>
    <w:rsid w:val="002C45E3"/>
    <w:rsid w:val="002D71D3"/>
    <w:rsid w:val="002E702E"/>
    <w:rsid w:val="0030612F"/>
    <w:rsid w:val="003233DF"/>
    <w:rsid w:val="00341906"/>
    <w:rsid w:val="00372DE4"/>
    <w:rsid w:val="00392388"/>
    <w:rsid w:val="003B4DF6"/>
    <w:rsid w:val="005305F0"/>
    <w:rsid w:val="00546129"/>
    <w:rsid w:val="00551685"/>
    <w:rsid w:val="00564B62"/>
    <w:rsid w:val="00582A70"/>
    <w:rsid w:val="006E3A1A"/>
    <w:rsid w:val="00754EC5"/>
    <w:rsid w:val="007E2AA4"/>
    <w:rsid w:val="00960507"/>
    <w:rsid w:val="00AE47DE"/>
    <w:rsid w:val="00AF623A"/>
    <w:rsid w:val="00C36597"/>
    <w:rsid w:val="00D7523A"/>
    <w:rsid w:val="00DF6F6A"/>
    <w:rsid w:val="00E84D9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A1A"/>
    <w:rPr>
      <w:rFonts w:ascii="Arial" w:hAnsi="Arial"/>
      <w:sz w:val="24"/>
      <w:szCs w:val="24"/>
    </w:rPr>
  </w:style>
  <w:style w:type="paragraph" w:styleId="Overskrift1">
    <w:name w:val="heading 1"/>
    <w:basedOn w:val="Normal"/>
    <w:next w:val="Normal"/>
    <w:qFormat/>
    <w:rsid w:val="00960507"/>
    <w:pPr>
      <w:keepNext/>
      <w:spacing w:before="100" w:beforeAutospacing="1" w:after="240"/>
      <w:outlineLvl w:val="0"/>
    </w:pPr>
    <w:rPr>
      <w:rFonts w:cs="Arial"/>
      <w:bCs/>
      <w:sz w:val="28"/>
      <w:szCs w:val="32"/>
    </w:rPr>
  </w:style>
  <w:style w:type="paragraph" w:styleId="Overskrift2">
    <w:name w:val="heading 2"/>
    <w:basedOn w:val="Normal"/>
    <w:next w:val="Normal"/>
    <w:qFormat/>
    <w:rsid w:val="00960507"/>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0507"/>
    <w:pPr>
      <w:tabs>
        <w:tab w:val="center" w:pos="4819"/>
        <w:tab w:val="right" w:pos="9638"/>
      </w:tabs>
    </w:pPr>
  </w:style>
  <w:style w:type="paragraph" w:styleId="Sidefod">
    <w:name w:val="footer"/>
    <w:basedOn w:val="Normal"/>
    <w:rsid w:val="00960507"/>
    <w:pPr>
      <w:tabs>
        <w:tab w:val="center" w:pos="4819"/>
        <w:tab w:val="right" w:pos="9638"/>
      </w:tabs>
    </w:pPr>
  </w:style>
  <w:style w:type="paragraph" w:customStyle="1" w:styleId="IBKHeading">
    <w:name w:val="IBK Heading"/>
    <w:basedOn w:val="Overskrift1"/>
    <w:next w:val="Normal"/>
    <w:rsid w:val="003B4DF6"/>
    <w:pPr>
      <w:overflowPunct w:val="0"/>
      <w:autoSpaceDE w:val="0"/>
      <w:spacing w:before="240" w:beforeAutospacing="0" w:line="280" w:lineRule="exact"/>
      <w:textAlignment w:val="baseline"/>
    </w:pPr>
    <w:rPr>
      <w:rFonts w:ascii="Verdana" w:hAnsi="Verdana" w:cs="Verdana"/>
      <w:b/>
      <w:color w:val="000000"/>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A1A"/>
    <w:rPr>
      <w:rFonts w:ascii="Arial" w:hAnsi="Arial"/>
      <w:sz w:val="24"/>
      <w:szCs w:val="24"/>
    </w:rPr>
  </w:style>
  <w:style w:type="paragraph" w:styleId="Overskrift1">
    <w:name w:val="heading 1"/>
    <w:basedOn w:val="Normal"/>
    <w:next w:val="Normal"/>
    <w:qFormat/>
    <w:pPr>
      <w:keepNext/>
      <w:spacing w:before="100" w:beforeAutospacing="1" w:after="240"/>
      <w:outlineLvl w:val="0"/>
    </w:pPr>
    <w:rPr>
      <w:rFonts w:cs="Arial"/>
      <w:bCs/>
      <w:sz w:val="28"/>
      <w:szCs w:val="32"/>
    </w:rPr>
  </w:style>
  <w:style w:type="paragraph" w:styleId="Overskrift2">
    <w:name w:val="heading 2"/>
    <w:basedOn w:val="Normal"/>
    <w:next w:val="Normal"/>
    <w:qFormat/>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HENT.HENTTEKST" wne:name="Project.Hent.HentTekst" wne:bEncrypt="00" wne:cmg="56"/>
    <wne:mcd wne:macroName="PROJECT.SLET.SLET" wne:name="Project.Slet.Slet" wne:bEncrypt="00" wne:cmg="56"/>
    <wne:mcd wne:macroName="PROJECT.KILDEKODE.AUTOOPEN" wne:name="Project.Kildekode.AutoOpen" wne:bEncrypt="00" wne:cmg="56"/>
  </wne:mcds>
</wne:vbaSuppData>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Save" Type="http://schemas.openxmlformats.org/officeDocument/2006/relationships/image" Target="images/Save.ico"/><Relationship Id="Open" Type="http://schemas.openxmlformats.org/officeDocument/2006/relationships/image" Target="images/Open.ico"/><Relationship Id="rId" Type="http://schemas.openxmlformats.org/officeDocument/2006/relationships/image" Target="images/Open0.ico"/></Relationships>
</file>

<file path=customUI/customUI.xml><?xml version="1.0" encoding="utf-8"?>
<customUI xmlns="http://schemas.microsoft.com/office/2006/01/customui">
  <ribbon startFromScratch="false">
    <tabs>
      <tab id="customTab" label="Værktøjskasse">
        <group id="customGroup" label="Dokumentarkiv">
          <button id="customButtonAabn" label="Åbn dokumentarkiv" imageMso="FileOpen" size="large" onAction="CallbackAabn"/>
          <button id="customButtonGem" label="Gem i dokumentarkiv" imageMso="FileClose" size="large" onAction="CallbackGem"/>
        </group>
      </tab>
    </tabs>
  </ribbon>
</customUI>
</file>

<file path=docProps/app.xml><?xml version="1.0" encoding="utf-8"?>
<Properties xmlns="http://schemas.openxmlformats.org/officeDocument/2006/extended-properties" xmlns:vt="http://schemas.openxmlformats.org/officeDocument/2006/docPropsVTypes">
  <Template>Normal</Template>
  <TotalTime>14</TotalTime>
  <Pages>5</Pages>
  <Words>1317</Words>
  <Characters>7907</Characters>
  <Application>Microsoft Office Word</Application>
  <DocSecurity>0</DocSecurity>
  <Lines>490</Lines>
  <Paragraphs>334</Paragraphs>
  <ScaleCrop>false</ScaleCrop>
  <HeadingPairs>
    <vt:vector size="2" baseType="variant">
      <vt:variant>
        <vt:lpstr>Titel</vt:lpstr>
      </vt:variant>
      <vt:variant>
        <vt:i4>1</vt:i4>
      </vt:variant>
    </vt:vector>
  </HeadingPairs>
  <TitlesOfParts>
    <vt:vector size="1" baseType="lpstr">
      <vt:lpstr/>
    </vt:vector>
  </TitlesOfParts>
  <Company>eHuset /S</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Helle Hastrup</cp:lastModifiedBy>
  <cp:revision>2</cp:revision>
  <cp:lastPrinted>2001-05-30T14:17:00Z</cp:lastPrinted>
  <dcterms:created xsi:type="dcterms:W3CDTF">2012-12-04T20:42:00Z</dcterms:created>
  <dcterms:modified xsi:type="dcterms:W3CDTF">2012-12-04T20:42:00Z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path">
    <vt:lpwstr>C:\Users\bmsehh\AppData\Local\Temp\2\SJ20121204204234216.DOCM</vt:lpwstr>
  </property>
</Properties>
</file>