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78" w:rsidRPr="00C472CD" w:rsidRDefault="00E25B78" w:rsidP="00E25B78">
      <w:pPr>
        <w:jc w:val="center"/>
        <w:rPr>
          <w:rFonts w:cs="Arial"/>
        </w:rPr>
      </w:pPr>
      <w:r w:rsidRPr="00C472CD">
        <w:rPr>
          <w:rFonts w:cs="Arial"/>
          <w:b/>
          <w:sz w:val="48"/>
        </w:rPr>
        <w:t>NOTAT</w:t>
      </w:r>
    </w:p>
    <w:p w:rsidR="00E25B78" w:rsidRPr="00C472CD" w:rsidRDefault="00E25B78" w:rsidP="00E25B78">
      <w:pPr>
        <w:jc w:val="center"/>
        <w:rPr>
          <w:rFonts w:cs="Arial"/>
        </w:rPr>
      </w:pPr>
    </w:p>
    <w:tbl>
      <w:tblPr>
        <w:tblW w:w="0" w:type="auto"/>
        <w:tblLayout w:type="fixed"/>
        <w:tblCellMar>
          <w:left w:w="70" w:type="dxa"/>
          <w:right w:w="70" w:type="dxa"/>
        </w:tblCellMar>
        <w:tblLook w:val="0000"/>
      </w:tblPr>
      <w:tblGrid>
        <w:gridCol w:w="1204"/>
        <w:gridCol w:w="7214"/>
      </w:tblGrid>
      <w:tr w:rsidR="00E25B78" w:rsidRPr="00C472CD" w:rsidTr="003600F3">
        <w:tc>
          <w:tcPr>
            <w:tcW w:w="1204" w:type="dxa"/>
          </w:tcPr>
          <w:p w:rsidR="00E25B78" w:rsidRPr="00C472CD" w:rsidRDefault="00E25B78" w:rsidP="003600F3">
            <w:pPr>
              <w:rPr>
                <w:rFonts w:cs="Arial"/>
                <w:b/>
              </w:rPr>
            </w:pPr>
            <w:r w:rsidRPr="00C472CD">
              <w:rPr>
                <w:rFonts w:cs="Arial"/>
                <w:b/>
              </w:rPr>
              <w:t>TIL:</w:t>
            </w:r>
          </w:p>
        </w:tc>
        <w:tc>
          <w:tcPr>
            <w:tcW w:w="7214" w:type="dxa"/>
          </w:tcPr>
          <w:p w:rsidR="00E25B78" w:rsidRPr="00C472CD" w:rsidRDefault="00B705AA" w:rsidP="003600F3">
            <w:pPr>
              <w:rPr>
                <w:rFonts w:cs="Arial"/>
              </w:rPr>
            </w:pPr>
            <w:bookmarkStart w:id="0" w:name="til"/>
            <w:bookmarkEnd w:id="0"/>
            <w:r>
              <w:rPr>
                <w:rFonts w:cs="Arial"/>
              </w:rPr>
              <w:t>Byråd</w:t>
            </w:r>
            <w:r w:rsidR="00893207">
              <w:rPr>
                <w:rFonts w:cs="Arial"/>
              </w:rPr>
              <w:t>et</w:t>
            </w:r>
          </w:p>
        </w:tc>
      </w:tr>
      <w:tr w:rsidR="00E25B78" w:rsidRPr="00C472CD" w:rsidTr="003600F3">
        <w:tc>
          <w:tcPr>
            <w:tcW w:w="1204" w:type="dxa"/>
          </w:tcPr>
          <w:p w:rsidR="00E25B78" w:rsidRPr="00C472CD" w:rsidRDefault="00E25B78" w:rsidP="003600F3">
            <w:pPr>
              <w:rPr>
                <w:rFonts w:cs="Arial"/>
                <w:b/>
              </w:rPr>
            </w:pPr>
          </w:p>
        </w:tc>
        <w:tc>
          <w:tcPr>
            <w:tcW w:w="7214" w:type="dxa"/>
          </w:tcPr>
          <w:p w:rsidR="00E25B78" w:rsidRPr="00C472CD" w:rsidRDefault="00E25B78" w:rsidP="003600F3">
            <w:pPr>
              <w:rPr>
                <w:rFonts w:cs="Arial"/>
              </w:rPr>
            </w:pPr>
          </w:p>
        </w:tc>
      </w:tr>
      <w:tr w:rsidR="00E25B78" w:rsidRPr="00C472CD" w:rsidTr="003600F3">
        <w:tc>
          <w:tcPr>
            <w:tcW w:w="1204" w:type="dxa"/>
          </w:tcPr>
          <w:p w:rsidR="00E25B78" w:rsidRPr="00C472CD" w:rsidRDefault="00E25B78" w:rsidP="003600F3">
            <w:pPr>
              <w:rPr>
                <w:rFonts w:cs="Arial"/>
                <w:b/>
              </w:rPr>
            </w:pPr>
            <w:r w:rsidRPr="00C472CD">
              <w:rPr>
                <w:rFonts w:cs="Arial"/>
                <w:b/>
              </w:rPr>
              <w:t>J.NR.:</w:t>
            </w:r>
          </w:p>
        </w:tc>
        <w:tc>
          <w:tcPr>
            <w:tcW w:w="7214" w:type="dxa"/>
          </w:tcPr>
          <w:p w:rsidR="00E25B78" w:rsidRPr="009030E5" w:rsidRDefault="00006370" w:rsidP="003600F3">
            <w:pPr>
              <w:rPr>
                <w:rFonts w:cs="Arial"/>
              </w:rPr>
            </w:pPr>
            <w:bookmarkStart w:id="1" w:name="jnr"/>
            <w:bookmarkEnd w:id="1"/>
            <w:r>
              <w:rPr>
                <w:rFonts w:cs="Arial"/>
              </w:rPr>
              <w:t>0277265-2013</w:t>
            </w:r>
          </w:p>
        </w:tc>
      </w:tr>
      <w:tr w:rsidR="00E25B78" w:rsidRPr="00C472CD" w:rsidTr="003600F3">
        <w:tc>
          <w:tcPr>
            <w:tcW w:w="1204" w:type="dxa"/>
          </w:tcPr>
          <w:p w:rsidR="00E25B78" w:rsidRPr="00C472CD" w:rsidRDefault="00E25B78" w:rsidP="003600F3">
            <w:pPr>
              <w:rPr>
                <w:rFonts w:cs="Arial"/>
                <w:b/>
              </w:rPr>
            </w:pPr>
          </w:p>
        </w:tc>
        <w:tc>
          <w:tcPr>
            <w:tcW w:w="7214" w:type="dxa"/>
          </w:tcPr>
          <w:p w:rsidR="00E25B78" w:rsidRPr="00C472CD" w:rsidRDefault="00E25B78" w:rsidP="003600F3">
            <w:pPr>
              <w:rPr>
                <w:rFonts w:cs="Arial"/>
              </w:rPr>
            </w:pPr>
          </w:p>
        </w:tc>
      </w:tr>
      <w:tr w:rsidR="00E25B78" w:rsidRPr="009030E5" w:rsidTr="003600F3">
        <w:tc>
          <w:tcPr>
            <w:tcW w:w="1204" w:type="dxa"/>
          </w:tcPr>
          <w:p w:rsidR="00E25B78" w:rsidRPr="00C472CD" w:rsidRDefault="00E25B78" w:rsidP="003600F3">
            <w:pPr>
              <w:rPr>
                <w:rFonts w:cs="Arial"/>
                <w:b/>
              </w:rPr>
            </w:pPr>
            <w:r w:rsidRPr="00C472CD">
              <w:rPr>
                <w:rFonts w:cs="Arial"/>
                <w:b/>
              </w:rPr>
              <w:t>VEDR.:</w:t>
            </w:r>
          </w:p>
        </w:tc>
        <w:tc>
          <w:tcPr>
            <w:tcW w:w="7214" w:type="dxa"/>
          </w:tcPr>
          <w:p w:rsidR="00E25B78" w:rsidRPr="00C472CD" w:rsidRDefault="00C9629D" w:rsidP="003600F3">
            <w:pPr>
              <w:rPr>
                <w:rFonts w:cs="Arial"/>
              </w:rPr>
            </w:pPr>
            <w:bookmarkStart w:id="2" w:name="vedr"/>
            <w:bookmarkEnd w:id="2"/>
            <w:r>
              <w:t>Valg af Statsgaranti /</w:t>
            </w:r>
            <w:r w:rsidR="00E25B78">
              <w:t xml:space="preserve"> selvbudgettering</w:t>
            </w:r>
            <w:r>
              <w:t xml:space="preserve"> for skatteåret 201</w:t>
            </w:r>
            <w:r w:rsidR="008D6C13">
              <w:t>4</w:t>
            </w:r>
          </w:p>
        </w:tc>
      </w:tr>
      <w:tr w:rsidR="00E25B78" w:rsidRPr="00C472CD" w:rsidTr="003600F3">
        <w:tc>
          <w:tcPr>
            <w:tcW w:w="1204" w:type="dxa"/>
          </w:tcPr>
          <w:p w:rsidR="00E25B78" w:rsidRPr="00C472CD" w:rsidRDefault="00E25B78" w:rsidP="003600F3">
            <w:pPr>
              <w:rPr>
                <w:rFonts w:cs="Arial"/>
                <w:b/>
              </w:rPr>
            </w:pPr>
          </w:p>
        </w:tc>
        <w:tc>
          <w:tcPr>
            <w:tcW w:w="7214" w:type="dxa"/>
          </w:tcPr>
          <w:p w:rsidR="00E25B78" w:rsidRPr="00C472CD" w:rsidRDefault="00E25B78" w:rsidP="003600F3">
            <w:pPr>
              <w:rPr>
                <w:rFonts w:cs="Arial"/>
              </w:rPr>
            </w:pPr>
          </w:p>
        </w:tc>
      </w:tr>
      <w:tr w:rsidR="00E25B78" w:rsidRPr="00C472CD" w:rsidTr="003600F3">
        <w:tc>
          <w:tcPr>
            <w:tcW w:w="1204" w:type="dxa"/>
          </w:tcPr>
          <w:p w:rsidR="00E25B78" w:rsidRPr="00C472CD" w:rsidRDefault="00E25B78" w:rsidP="003600F3">
            <w:pPr>
              <w:rPr>
                <w:rFonts w:cs="Arial"/>
                <w:b/>
              </w:rPr>
            </w:pPr>
            <w:r w:rsidRPr="00C472CD">
              <w:rPr>
                <w:rFonts w:cs="Arial"/>
                <w:b/>
              </w:rPr>
              <w:t>DATO:</w:t>
            </w:r>
          </w:p>
        </w:tc>
        <w:tc>
          <w:tcPr>
            <w:tcW w:w="7214" w:type="dxa"/>
          </w:tcPr>
          <w:p w:rsidR="00E25B78" w:rsidRPr="00C472CD" w:rsidRDefault="00893207" w:rsidP="00893207">
            <w:pPr>
              <w:rPr>
                <w:rFonts w:cs="Arial"/>
              </w:rPr>
            </w:pPr>
            <w:r>
              <w:rPr>
                <w:rFonts w:cs="Arial"/>
              </w:rPr>
              <w:t>24</w:t>
            </w:r>
            <w:r w:rsidR="006A3B71">
              <w:rPr>
                <w:rFonts w:cs="Arial"/>
              </w:rPr>
              <w:t xml:space="preserve">. </w:t>
            </w:r>
            <w:r>
              <w:rPr>
                <w:rFonts w:cs="Arial"/>
              </w:rPr>
              <w:t>september</w:t>
            </w:r>
            <w:r w:rsidR="008D6C13">
              <w:rPr>
                <w:rFonts w:cs="Arial"/>
              </w:rPr>
              <w:t xml:space="preserve"> 2013</w:t>
            </w:r>
            <w:r w:rsidR="00E25B78">
              <w:rPr>
                <w:rFonts w:cs="Arial"/>
              </w:rPr>
              <w:t xml:space="preserve"> </w:t>
            </w:r>
          </w:p>
        </w:tc>
      </w:tr>
    </w:tbl>
    <w:p w:rsidR="00E25B78" w:rsidRPr="00C472CD" w:rsidRDefault="00E25B78" w:rsidP="00E25B78">
      <w:pPr>
        <w:rPr>
          <w:rFonts w:cs="Arial"/>
        </w:rPr>
      </w:pPr>
    </w:p>
    <w:p w:rsidR="00E25B78" w:rsidRPr="00E25B78" w:rsidRDefault="00E25B78" w:rsidP="00E25B78">
      <w:pPr>
        <w:spacing w:before="120"/>
        <w:jc w:val="both"/>
        <w:rPr>
          <w:rFonts w:cs="Arial"/>
        </w:rPr>
      </w:pPr>
      <w:r w:rsidRPr="00E25B78">
        <w:rPr>
          <w:rFonts w:cs="Arial"/>
        </w:rPr>
        <w:t>Nedenfor gennemgås forudsætningerne og beregninger for udviklingen i Ho</w:t>
      </w:r>
      <w:r w:rsidRPr="00E25B78">
        <w:rPr>
          <w:rFonts w:cs="Arial"/>
        </w:rPr>
        <w:t>l</w:t>
      </w:r>
      <w:r w:rsidRPr="00E25B78">
        <w:rPr>
          <w:rFonts w:cs="Arial"/>
        </w:rPr>
        <w:t>stebro Kommunes udskrivning</w:t>
      </w:r>
      <w:r w:rsidR="008D6C13">
        <w:rPr>
          <w:rFonts w:cs="Arial"/>
        </w:rPr>
        <w:t>sgrundlag 2011</w:t>
      </w:r>
      <w:r w:rsidRPr="00E25B78">
        <w:rPr>
          <w:rFonts w:cs="Arial"/>
        </w:rPr>
        <w:t>-</w:t>
      </w:r>
      <w:r w:rsidR="00A058EA">
        <w:rPr>
          <w:rFonts w:cs="Arial"/>
        </w:rPr>
        <w:t>2014</w:t>
      </w:r>
      <w:r w:rsidRPr="00E25B78">
        <w:rPr>
          <w:rFonts w:cs="Arial"/>
        </w:rPr>
        <w:t>, samt det statsgarant</w:t>
      </w:r>
      <w:r w:rsidRPr="00E25B78">
        <w:rPr>
          <w:rFonts w:cs="Arial"/>
        </w:rPr>
        <w:t>e</w:t>
      </w:r>
      <w:r w:rsidRPr="00E25B78">
        <w:rPr>
          <w:rFonts w:cs="Arial"/>
        </w:rPr>
        <w:t xml:space="preserve">rede udskrivningsgrundlag. Udskrivningsgrundlaget er det grundlag, hvoraf der udskrives indkomstskat. Notatet vil først indeholde en indledning med baggrunden for </w:t>
      </w:r>
      <w:r w:rsidR="00C9629D">
        <w:rPr>
          <w:rFonts w:cs="Arial"/>
        </w:rPr>
        <w:t xml:space="preserve">henholdsvis </w:t>
      </w:r>
      <w:r w:rsidRPr="00E25B78">
        <w:rPr>
          <w:rFonts w:cs="Arial"/>
        </w:rPr>
        <w:t xml:space="preserve">statsgarantien </w:t>
      </w:r>
      <w:r w:rsidR="00C9629D">
        <w:rPr>
          <w:rFonts w:cs="Arial"/>
        </w:rPr>
        <w:t>og</w:t>
      </w:r>
      <w:r w:rsidRPr="00E25B78">
        <w:rPr>
          <w:rFonts w:cs="Arial"/>
        </w:rPr>
        <w:t xml:space="preserve"> selvbudgettering af udskri</w:t>
      </w:r>
      <w:r w:rsidRPr="00E25B78">
        <w:rPr>
          <w:rFonts w:cs="Arial"/>
        </w:rPr>
        <w:t>v</w:t>
      </w:r>
      <w:r w:rsidRPr="00E25B78">
        <w:rPr>
          <w:rFonts w:cs="Arial"/>
        </w:rPr>
        <w:t>ningsgrundlag, derefter baggrunden for statsga</w:t>
      </w:r>
      <w:r w:rsidR="00A058EA">
        <w:rPr>
          <w:rFonts w:cs="Arial"/>
        </w:rPr>
        <w:t>rantien i 2014</w:t>
      </w:r>
      <w:r w:rsidRPr="00E25B78">
        <w:rPr>
          <w:rFonts w:cs="Arial"/>
        </w:rPr>
        <w:t>. Afsnit 3 vil gennemgå forudsætninger mv. for det beregnede selvbudget</w:t>
      </w:r>
      <w:r w:rsidR="009030E5">
        <w:rPr>
          <w:rFonts w:cs="Arial"/>
        </w:rPr>
        <w:t>terede udskri</w:t>
      </w:r>
      <w:r w:rsidR="009030E5">
        <w:rPr>
          <w:rFonts w:cs="Arial"/>
        </w:rPr>
        <w:t>v</w:t>
      </w:r>
      <w:r w:rsidR="009030E5">
        <w:rPr>
          <w:rFonts w:cs="Arial"/>
        </w:rPr>
        <w:t>nings</w:t>
      </w:r>
      <w:r w:rsidR="00A058EA">
        <w:rPr>
          <w:rFonts w:cs="Arial"/>
        </w:rPr>
        <w:t>grundlag 2014</w:t>
      </w:r>
      <w:r w:rsidRPr="00E25B78">
        <w:rPr>
          <w:rFonts w:cs="Arial"/>
        </w:rPr>
        <w:t>.</w:t>
      </w:r>
    </w:p>
    <w:p w:rsidR="00E25B78" w:rsidRPr="00C472CD" w:rsidRDefault="00E25B78" w:rsidP="00E25B78">
      <w:pPr>
        <w:rPr>
          <w:rFonts w:cs="Arial"/>
        </w:rPr>
      </w:pPr>
    </w:p>
    <w:p w:rsidR="00E25B78" w:rsidRPr="00E25B78" w:rsidRDefault="00E25B78" w:rsidP="00E25B78">
      <w:pPr>
        <w:jc w:val="both"/>
        <w:rPr>
          <w:rFonts w:cs="Arial"/>
          <w:b/>
          <w:bCs/>
        </w:rPr>
      </w:pPr>
      <w:bookmarkStart w:id="3" w:name="tekst"/>
      <w:bookmarkEnd w:id="3"/>
      <w:r w:rsidRPr="00E25B78">
        <w:rPr>
          <w:rFonts w:cs="Arial"/>
          <w:b/>
          <w:bCs/>
        </w:rPr>
        <w:t>1. Indledning</w:t>
      </w:r>
    </w:p>
    <w:p w:rsidR="00E25B78" w:rsidRPr="00E25B78" w:rsidRDefault="00E25B78" w:rsidP="00E25B78">
      <w:pPr>
        <w:spacing w:before="120"/>
        <w:jc w:val="both"/>
        <w:rPr>
          <w:rFonts w:cs="Arial"/>
        </w:rPr>
      </w:pPr>
      <w:r w:rsidRPr="00E25B78">
        <w:rPr>
          <w:rFonts w:cs="Arial"/>
        </w:rPr>
        <w:t xml:space="preserve">Kommunerne har således mulighed for at vælge mellem </w:t>
      </w:r>
      <w:r w:rsidRPr="00E25B78">
        <w:rPr>
          <w:rFonts w:cs="Arial"/>
          <w:u w:val="single"/>
        </w:rPr>
        <w:t>enten</w:t>
      </w:r>
      <w:r w:rsidRPr="00E25B78">
        <w:rPr>
          <w:rFonts w:cs="Arial"/>
        </w:rPr>
        <w:t xml:space="preserve"> selv at budge</w:t>
      </w:r>
      <w:r w:rsidRPr="00E25B78">
        <w:rPr>
          <w:rFonts w:cs="Arial"/>
        </w:rPr>
        <w:t>t</w:t>
      </w:r>
      <w:r w:rsidRPr="00E25B78">
        <w:rPr>
          <w:rFonts w:cs="Arial"/>
        </w:rPr>
        <w:t>tere udskrivningsgrundlag og deraf også de dele af udligning/tilskud, hvor u</w:t>
      </w:r>
      <w:r w:rsidRPr="00E25B78">
        <w:rPr>
          <w:rFonts w:cs="Arial"/>
        </w:rPr>
        <w:t>d</w:t>
      </w:r>
      <w:r w:rsidRPr="00E25B78">
        <w:rPr>
          <w:rFonts w:cs="Arial"/>
        </w:rPr>
        <w:t xml:space="preserve">skrivningsgrundlaget indgår </w:t>
      </w:r>
      <w:r w:rsidRPr="00E25B78">
        <w:rPr>
          <w:rFonts w:cs="Arial"/>
          <w:u w:val="single"/>
        </w:rPr>
        <w:t>eller</w:t>
      </w:r>
      <w:r w:rsidRPr="00E25B78">
        <w:rPr>
          <w:rFonts w:cs="Arial"/>
        </w:rPr>
        <w:t xml:space="preserve"> at modtage et statsgaranteret udskrivning</w:t>
      </w:r>
      <w:r w:rsidRPr="00E25B78">
        <w:rPr>
          <w:rFonts w:cs="Arial"/>
        </w:rPr>
        <w:t>s</w:t>
      </w:r>
      <w:r w:rsidRPr="00E25B78">
        <w:rPr>
          <w:rFonts w:cs="Arial"/>
        </w:rPr>
        <w:t xml:space="preserve">grundlag. </w:t>
      </w:r>
    </w:p>
    <w:p w:rsidR="00E25B78" w:rsidRPr="00E25B78" w:rsidRDefault="00E25B78" w:rsidP="00E25B78">
      <w:pPr>
        <w:spacing w:before="120"/>
        <w:jc w:val="both"/>
        <w:rPr>
          <w:rFonts w:cs="Arial"/>
        </w:rPr>
      </w:pPr>
      <w:r w:rsidRPr="00E25B78">
        <w:rPr>
          <w:rFonts w:cs="Arial"/>
        </w:rPr>
        <w:t>Vælges statsgaranti, foretages der ikke en efterreguleringer af skat, tilskud og udligning. En eventuel afvigelser mellem de statsgaranterede og faktiske b</w:t>
      </w:r>
      <w:r w:rsidRPr="00E25B78">
        <w:rPr>
          <w:rFonts w:cs="Arial"/>
        </w:rPr>
        <w:t>e</w:t>
      </w:r>
      <w:r w:rsidRPr="00E25B78">
        <w:rPr>
          <w:rFonts w:cs="Arial"/>
        </w:rPr>
        <w:t>løb, betales af eller tilfalder staten.</w:t>
      </w:r>
    </w:p>
    <w:p w:rsidR="00E25B78" w:rsidRPr="00E25B78" w:rsidRDefault="00E25B78" w:rsidP="00E25B78">
      <w:pPr>
        <w:spacing w:before="120"/>
        <w:jc w:val="both"/>
        <w:rPr>
          <w:rFonts w:cs="Arial"/>
        </w:rPr>
      </w:pPr>
      <w:r w:rsidRPr="00E25B78">
        <w:rPr>
          <w:rFonts w:cs="Arial"/>
        </w:rPr>
        <w:t xml:space="preserve">Vælges selvbudgettering foretages der efterregulering i forhold til det faktiske opgjorte udskrivningsgrundlag, opgjort i maj måned </w:t>
      </w:r>
      <w:r w:rsidR="008D6C13">
        <w:rPr>
          <w:rFonts w:cs="Arial"/>
        </w:rPr>
        <w:t>to år efter budgetåret (for 2014</w:t>
      </w:r>
      <w:r w:rsidRPr="00E25B78">
        <w:rPr>
          <w:rFonts w:cs="Arial"/>
        </w:rPr>
        <w:t xml:space="preserve"> det opgjorte udsk</w:t>
      </w:r>
      <w:r w:rsidR="008D6C13">
        <w:rPr>
          <w:rFonts w:cs="Arial"/>
        </w:rPr>
        <w:t>rivningsgrundlag pr. 1. maj 2016</w:t>
      </w:r>
      <w:r w:rsidRPr="00E25B78">
        <w:rPr>
          <w:rFonts w:cs="Arial"/>
        </w:rPr>
        <w:t>). Efterreguleringen a</w:t>
      </w:r>
      <w:r w:rsidRPr="00E25B78">
        <w:rPr>
          <w:rFonts w:cs="Arial"/>
        </w:rPr>
        <w:t>f</w:t>
      </w:r>
      <w:r w:rsidRPr="00E25B78">
        <w:rPr>
          <w:rFonts w:cs="Arial"/>
        </w:rPr>
        <w:t>regnes med en tredjedel i månederne januar, februar og marts i tred</w:t>
      </w:r>
      <w:r w:rsidR="008D6C13">
        <w:rPr>
          <w:rFonts w:cs="Arial"/>
        </w:rPr>
        <w:t>je år efter budgetåret (for 2013</w:t>
      </w:r>
      <w:r w:rsidRPr="00E25B78">
        <w:rPr>
          <w:rFonts w:cs="Arial"/>
        </w:rPr>
        <w:t xml:space="preserve"> afregnes en evt. efterregulering</w:t>
      </w:r>
      <w:r w:rsidR="008D6C13">
        <w:rPr>
          <w:rFonts w:cs="Arial"/>
        </w:rPr>
        <w:t xml:space="preserve"> i januar, februar og marts 2017</w:t>
      </w:r>
      <w:r w:rsidRPr="00E25B78">
        <w:rPr>
          <w:rFonts w:cs="Arial"/>
        </w:rPr>
        <w:t>).</w:t>
      </w:r>
    </w:p>
    <w:p w:rsidR="00E25B78" w:rsidRPr="00E25B78" w:rsidRDefault="00E25B78" w:rsidP="00E25B78">
      <w:pPr>
        <w:spacing w:before="120"/>
        <w:jc w:val="both"/>
        <w:rPr>
          <w:rFonts w:cs="Arial"/>
          <w:sz w:val="28"/>
          <w:szCs w:val="28"/>
          <w:u w:val="single"/>
        </w:rPr>
      </w:pPr>
      <w:r w:rsidRPr="00E25B78">
        <w:rPr>
          <w:rFonts w:cs="Arial"/>
        </w:rPr>
        <w:t>Valg af udskrivningsgrundlag sker ved Byrådets 2. behandling af budgetfo</w:t>
      </w:r>
      <w:r w:rsidRPr="00E25B78">
        <w:rPr>
          <w:rFonts w:cs="Arial"/>
        </w:rPr>
        <w:t>r</w:t>
      </w:r>
      <w:r w:rsidRPr="00E25B78">
        <w:rPr>
          <w:rFonts w:cs="Arial"/>
        </w:rPr>
        <w:t>slaget for et år ad gangen.</w:t>
      </w:r>
    </w:p>
    <w:p w:rsidR="00E25B78" w:rsidRPr="00C472CD" w:rsidRDefault="00E25B78" w:rsidP="00E25B78">
      <w:pPr>
        <w:rPr>
          <w:rFonts w:cs="Arial"/>
        </w:rPr>
      </w:pPr>
    </w:p>
    <w:p w:rsidR="00E25B78" w:rsidRPr="00C472CD" w:rsidRDefault="00E25B78" w:rsidP="00E25B78">
      <w:pPr>
        <w:rPr>
          <w:rFonts w:cs="Arial"/>
        </w:rPr>
      </w:pPr>
    </w:p>
    <w:p w:rsidR="00313493" w:rsidRPr="00CA6279" w:rsidRDefault="00313493" w:rsidP="00313493">
      <w:pPr>
        <w:jc w:val="both"/>
        <w:rPr>
          <w:rFonts w:cs="Arial"/>
          <w:b/>
          <w:bCs/>
        </w:rPr>
      </w:pPr>
      <w:r w:rsidRPr="00CA6279">
        <w:rPr>
          <w:rFonts w:cs="Arial"/>
          <w:b/>
          <w:bCs/>
        </w:rPr>
        <w:t>2. Statsgaranti</w:t>
      </w:r>
    </w:p>
    <w:p w:rsidR="00313493" w:rsidRPr="00CA6279" w:rsidRDefault="00313493" w:rsidP="00313493">
      <w:pPr>
        <w:spacing w:before="120"/>
        <w:jc w:val="both"/>
        <w:rPr>
          <w:rFonts w:cs="Arial"/>
        </w:rPr>
      </w:pPr>
      <w:r w:rsidRPr="00CA6279">
        <w:rPr>
          <w:rFonts w:cs="Arial"/>
        </w:rPr>
        <w:t>Indenrigs- og Sundhedsminister</w:t>
      </w:r>
      <w:r w:rsidR="008D6C13">
        <w:rPr>
          <w:rFonts w:cs="Arial"/>
        </w:rPr>
        <w:t>iet har primo juli 2013</w:t>
      </w:r>
      <w:r w:rsidRPr="00CA6279">
        <w:rPr>
          <w:rFonts w:cs="Arial"/>
        </w:rPr>
        <w:t xml:space="preserve"> udmeldt de statsgara</w:t>
      </w:r>
      <w:r w:rsidRPr="00CA6279">
        <w:rPr>
          <w:rFonts w:cs="Arial"/>
        </w:rPr>
        <w:t>n</w:t>
      </w:r>
      <w:r w:rsidRPr="00CA6279">
        <w:rPr>
          <w:rFonts w:cs="Arial"/>
        </w:rPr>
        <w:t>terede udskrivningsgrundlag for selvan</w:t>
      </w:r>
      <w:r w:rsidR="008D6C13">
        <w:rPr>
          <w:rFonts w:cs="Arial"/>
        </w:rPr>
        <w:t>givne indkomster i 2014</w:t>
      </w:r>
      <w:r w:rsidRPr="00CA6279">
        <w:rPr>
          <w:rFonts w:cs="Arial"/>
        </w:rPr>
        <w:t>. I tabel 1 ses de statsgarantere</w:t>
      </w:r>
      <w:r w:rsidR="008D6C13">
        <w:rPr>
          <w:rFonts w:cs="Arial"/>
        </w:rPr>
        <w:t>de udskrivningsgrundlag for 2012, 2013 og 2014</w:t>
      </w:r>
      <w:r w:rsidRPr="00CA6279">
        <w:rPr>
          <w:rFonts w:cs="Arial"/>
        </w:rPr>
        <w:t xml:space="preserve"> </w:t>
      </w:r>
      <w:r w:rsidR="00CA6279">
        <w:rPr>
          <w:rFonts w:cs="Arial"/>
        </w:rPr>
        <w:t>s</w:t>
      </w:r>
      <w:r w:rsidRPr="00CA6279">
        <w:rPr>
          <w:rFonts w:cs="Arial"/>
        </w:rPr>
        <w:t>tatsg</w:t>
      </w:r>
      <w:r w:rsidRPr="00CA6279">
        <w:rPr>
          <w:rFonts w:cs="Arial"/>
        </w:rPr>
        <w:t>a</w:t>
      </w:r>
      <w:r w:rsidRPr="00CA6279">
        <w:rPr>
          <w:rFonts w:cs="Arial"/>
        </w:rPr>
        <w:t>rantien vedrører alene de selvangivne indkomster. Der beregnes indkoms</w:t>
      </w:r>
      <w:r w:rsidRPr="00CA6279">
        <w:rPr>
          <w:rFonts w:cs="Arial"/>
        </w:rPr>
        <w:t>t</w:t>
      </w:r>
      <w:r w:rsidRPr="00CA6279">
        <w:rPr>
          <w:rFonts w:cs="Arial"/>
        </w:rPr>
        <w:t>skat af det samlede udskrivningsgrundlag.</w:t>
      </w:r>
    </w:p>
    <w:p w:rsidR="00313493" w:rsidRPr="00CA6279" w:rsidRDefault="00313493" w:rsidP="00313493">
      <w:pPr>
        <w:ind w:left="1134" w:hanging="1134"/>
        <w:jc w:val="both"/>
        <w:rPr>
          <w:rFonts w:cs="Arial"/>
          <w:b/>
          <w:bCs/>
          <w:i/>
          <w:iCs/>
        </w:rPr>
      </w:pPr>
    </w:p>
    <w:p w:rsidR="00313493" w:rsidRPr="00CA6279" w:rsidRDefault="00313493" w:rsidP="00313493">
      <w:pPr>
        <w:ind w:left="1134" w:hanging="1134"/>
        <w:jc w:val="both"/>
        <w:rPr>
          <w:rFonts w:cs="Arial"/>
          <w:b/>
          <w:bCs/>
          <w:iCs/>
        </w:rPr>
      </w:pPr>
      <w:r w:rsidRPr="00CA6279">
        <w:rPr>
          <w:rFonts w:cs="Arial"/>
          <w:b/>
          <w:bCs/>
          <w:iCs/>
        </w:rPr>
        <w:lastRenderedPageBreak/>
        <w:t>Tabel 1. Statsgaran</w:t>
      </w:r>
      <w:r w:rsidR="009030E5">
        <w:rPr>
          <w:rFonts w:cs="Arial"/>
          <w:b/>
          <w:bCs/>
          <w:iCs/>
        </w:rPr>
        <w:t>terede udskrivningsgrundlag 2010-2012</w:t>
      </w:r>
      <w:r w:rsidRPr="00CA6279">
        <w:rPr>
          <w:rFonts w:cs="Arial"/>
          <w:b/>
          <w:bCs/>
          <w:iCs/>
        </w:rPr>
        <w:t>.</w:t>
      </w:r>
    </w:p>
    <w:tbl>
      <w:tblPr>
        <w:tblW w:w="8433" w:type="dxa"/>
        <w:tblBorders>
          <w:top w:val="single" w:sz="6" w:space="0" w:color="000000"/>
          <w:bottom w:val="single" w:sz="6" w:space="0" w:color="000000"/>
          <w:insideH w:val="single" w:sz="6" w:space="0" w:color="000000"/>
        </w:tblBorders>
        <w:tblLayout w:type="fixed"/>
        <w:tblCellMar>
          <w:left w:w="70" w:type="dxa"/>
          <w:right w:w="70" w:type="dxa"/>
        </w:tblCellMar>
        <w:tblLook w:val="00BF"/>
      </w:tblPr>
      <w:tblGrid>
        <w:gridCol w:w="4390"/>
        <w:gridCol w:w="1347"/>
        <w:gridCol w:w="1348"/>
        <w:gridCol w:w="1348"/>
      </w:tblGrid>
      <w:tr w:rsidR="00313493" w:rsidRPr="00CA6279" w:rsidTr="00CA6279">
        <w:tc>
          <w:tcPr>
            <w:tcW w:w="4390" w:type="dxa"/>
          </w:tcPr>
          <w:p w:rsidR="00313493" w:rsidRPr="00CA6279" w:rsidRDefault="00313493" w:rsidP="00313493">
            <w:pPr>
              <w:jc w:val="both"/>
              <w:rPr>
                <w:rFonts w:cs="Arial"/>
              </w:rPr>
            </w:pPr>
            <w:r w:rsidRPr="00CA6279">
              <w:rPr>
                <w:rFonts w:cs="Arial"/>
              </w:rPr>
              <w:t>Mio. kr., løbende priser</w:t>
            </w:r>
          </w:p>
        </w:tc>
        <w:tc>
          <w:tcPr>
            <w:tcW w:w="1347" w:type="dxa"/>
          </w:tcPr>
          <w:p w:rsidR="00313493" w:rsidRPr="00CA6279" w:rsidRDefault="009030E5" w:rsidP="00313493">
            <w:pPr>
              <w:jc w:val="right"/>
              <w:rPr>
                <w:rFonts w:cs="Arial"/>
              </w:rPr>
            </w:pPr>
            <w:r>
              <w:rPr>
                <w:rFonts w:cs="Arial"/>
              </w:rPr>
              <w:t>201</w:t>
            </w:r>
            <w:r w:rsidR="008D6C13">
              <w:rPr>
                <w:rFonts w:cs="Arial"/>
              </w:rPr>
              <w:t>2</w:t>
            </w:r>
          </w:p>
        </w:tc>
        <w:tc>
          <w:tcPr>
            <w:tcW w:w="1348" w:type="dxa"/>
          </w:tcPr>
          <w:p w:rsidR="00313493" w:rsidRPr="00CA6279" w:rsidRDefault="009030E5" w:rsidP="00313493">
            <w:pPr>
              <w:jc w:val="right"/>
              <w:rPr>
                <w:rFonts w:cs="Arial"/>
              </w:rPr>
            </w:pPr>
            <w:r>
              <w:rPr>
                <w:rFonts w:cs="Arial"/>
              </w:rPr>
              <w:t>201</w:t>
            </w:r>
            <w:r w:rsidR="008D6C13">
              <w:rPr>
                <w:rFonts w:cs="Arial"/>
              </w:rPr>
              <w:t>3</w:t>
            </w:r>
          </w:p>
        </w:tc>
        <w:tc>
          <w:tcPr>
            <w:tcW w:w="1348" w:type="dxa"/>
          </w:tcPr>
          <w:p w:rsidR="00313493" w:rsidRPr="00CA6279" w:rsidRDefault="009030E5" w:rsidP="00313493">
            <w:pPr>
              <w:jc w:val="right"/>
              <w:rPr>
                <w:rFonts w:cs="Arial"/>
              </w:rPr>
            </w:pPr>
            <w:r>
              <w:rPr>
                <w:rFonts w:cs="Arial"/>
              </w:rPr>
              <w:t>201</w:t>
            </w:r>
            <w:r w:rsidR="008D6C13">
              <w:rPr>
                <w:rFonts w:cs="Arial"/>
              </w:rPr>
              <w:t>4</w:t>
            </w:r>
          </w:p>
        </w:tc>
      </w:tr>
      <w:tr w:rsidR="00CA6279" w:rsidRPr="00CA6279" w:rsidTr="00CA6279">
        <w:tc>
          <w:tcPr>
            <w:tcW w:w="4390" w:type="dxa"/>
          </w:tcPr>
          <w:p w:rsidR="00CA6279" w:rsidRPr="00CA6279" w:rsidRDefault="00CA6279" w:rsidP="00313493">
            <w:pPr>
              <w:jc w:val="both"/>
              <w:rPr>
                <w:rFonts w:cs="Arial"/>
              </w:rPr>
            </w:pPr>
            <w:r w:rsidRPr="00CA6279">
              <w:rPr>
                <w:rFonts w:cs="Arial"/>
              </w:rPr>
              <w:t>Statsgaranteret udskrivningsgrundlag</w:t>
            </w:r>
          </w:p>
        </w:tc>
        <w:tc>
          <w:tcPr>
            <w:tcW w:w="1347" w:type="dxa"/>
          </w:tcPr>
          <w:p w:rsidR="00CA6279" w:rsidRPr="00CA6279" w:rsidRDefault="00EF0127" w:rsidP="00CA6279">
            <w:pPr>
              <w:jc w:val="right"/>
              <w:rPr>
                <w:rFonts w:cs="Arial"/>
              </w:rPr>
            </w:pPr>
            <w:r>
              <w:rPr>
                <w:rFonts w:cs="Arial"/>
              </w:rPr>
              <w:t>7.8</w:t>
            </w:r>
            <w:r w:rsidR="008D6C13">
              <w:rPr>
                <w:rFonts w:cs="Arial"/>
              </w:rPr>
              <w:t>38</w:t>
            </w:r>
          </w:p>
        </w:tc>
        <w:tc>
          <w:tcPr>
            <w:tcW w:w="1348" w:type="dxa"/>
          </w:tcPr>
          <w:p w:rsidR="00CA6279" w:rsidRPr="00CA6279" w:rsidRDefault="008D6C13" w:rsidP="00CA6279">
            <w:pPr>
              <w:jc w:val="right"/>
              <w:rPr>
                <w:rFonts w:cs="Arial"/>
              </w:rPr>
            </w:pPr>
            <w:r>
              <w:rPr>
                <w:rFonts w:cs="Arial"/>
              </w:rPr>
              <w:t>8.313</w:t>
            </w:r>
          </w:p>
        </w:tc>
        <w:tc>
          <w:tcPr>
            <w:tcW w:w="1348" w:type="dxa"/>
          </w:tcPr>
          <w:p w:rsidR="00CA6279" w:rsidRPr="00CA6279" w:rsidRDefault="00EF0127" w:rsidP="00313493">
            <w:pPr>
              <w:jc w:val="right"/>
              <w:rPr>
                <w:rFonts w:cs="Arial"/>
              </w:rPr>
            </w:pPr>
            <w:r>
              <w:rPr>
                <w:rFonts w:cs="Arial"/>
              </w:rPr>
              <w:t>8.</w:t>
            </w:r>
            <w:r w:rsidR="00097B73">
              <w:rPr>
                <w:rFonts w:cs="Arial"/>
              </w:rPr>
              <w:t>504</w:t>
            </w:r>
          </w:p>
        </w:tc>
      </w:tr>
    </w:tbl>
    <w:p w:rsidR="00313493" w:rsidRPr="00CA6279" w:rsidRDefault="00313493" w:rsidP="00313493">
      <w:pPr>
        <w:spacing w:before="120"/>
        <w:jc w:val="both"/>
        <w:rPr>
          <w:rFonts w:cs="Arial"/>
        </w:rPr>
      </w:pPr>
      <w:r w:rsidRPr="00CA6279">
        <w:rPr>
          <w:rFonts w:cs="Arial"/>
        </w:rPr>
        <w:t>Det statsgaranterede udskrivningsgrundlag for 201</w:t>
      </w:r>
      <w:r w:rsidR="008D6C13">
        <w:rPr>
          <w:rFonts w:cs="Arial"/>
        </w:rPr>
        <w:t>4</w:t>
      </w:r>
      <w:r w:rsidRPr="00CA6279">
        <w:rPr>
          <w:rFonts w:cs="Arial"/>
        </w:rPr>
        <w:t xml:space="preserve"> er beregnet ud fra ko</w:t>
      </w:r>
      <w:r w:rsidRPr="00CA6279">
        <w:rPr>
          <w:rFonts w:cs="Arial"/>
        </w:rPr>
        <w:t>m</w:t>
      </w:r>
      <w:r w:rsidRPr="00CA6279">
        <w:rPr>
          <w:rFonts w:cs="Arial"/>
        </w:rPr>
        <w:t>munes samle</w:t>
      </w:r>
      <w:r w:rsidR="00EC68BA">
        <w:rPr>
          <w:rFonts w:cs="Arial"/>
        </w:rPr>
        <w:t>de korrigere</w:t>
      </w:r>
      <w:r w:rsidR="008D6C13">
        <w:rPr>
          <w:rFonts w:cs="Arial"/>
        </w:rPr>
        <w:t>de udskrivningsgrundlag for 2011</w:t>
      </w:r>
      <w:r w:rsidRPr="00CA6279">
        <w:rPr>
          <w:rFonts w:cs="Arial"/>
        </w:rPr>
        <w:t xml:space="preserve"> for de selvangivne indkomst</w:t>
      </w:r>
      <w:r w:rsidR="00EF0127">
        <w:rPr>
          <w:rFonts w:cs="Arial"/>
        </w:rPr>
        <w:t>er, som opgjort i maj må</w:t>
      </w:r>
      <w:r w:rsidR="008D6C13">
        <w:rPr>
          <w:rFonts w:cs="Arial"/>
        </w:rPr>
        <w:t>ned 2013</w:t>
      </w:r>
      <w:r w:rsidRPr="00CA6279">
        <w:rPr>
          <w:rFonts w:cs="Arial"/>
        </w:rPr>
        <w:t xml:space="preserve">. Dette </w:t>
      </w:r>
      <w:r w:rsidR="008D6C13">
        <w:rPr>
          <w:rFonts w:cs="Arial"/>
        </w:rPr>
        <w:t>grundlag er fremskrevet til 2014</w:t>
      </w:r>
      <w:r w:rsidRPr="00CA6279">
        <w:rPr>
          <w:rFonts w:cs="Arial"/>
        </w:rPr>
        <w:t>-niveau med den af staten fast</w:t>
      </w:r>
      <w:r w:rsidR="00EC68BA">
        <w:rPr>
          <w:rFonts w:cs="Arial"/>
        </w:rPr>
        <w:t>satte fremskrivningsprocent på</w:t>
      </w:r>
      <w:r w:rsidR="008D6C13">
        <w:rPr>
          <w:rFonts w:cs="Arial"/>
        </w:rPr>
        <w:t xml:space="preserve"> 12,1</w:t>
      </w:r>
      <w:r w:rsidRPr="00CA6279">
        <w:rPr>
          <w:rFonts w:cs="Arial"/>
        </w:rPr>
        <w:t xml:space="preserve"> pct. Der anvendes samme fremskrivningsprocent for alle kommuner.</w:t>
      </w:r>
    </w:p>
    <w:p w:rsidR="00313493" w:rsidRPr="00CA6279" w:rsidRDefault="00313493" w:rsidP="00313493">
      <w:pPr>
        <w:spacing w:before="120"/>
        <w:jc w:val="both"/>
        <w:rPr>
          <w:rFonts w:cs="Arial"/>
        </w:rPr>
      </w:pPr>
      <w:r w:rsidRPr="00CA6279">
        <w:rPr>
          <w:rFonts w:cs="Arial"/>
        </w:rPr>
        <w:t>Med tilbuddet om statsgaranti er det således vigtigt at give en præcis vurd</w:t>
      </w:r>
      <w:r w:rsidRPr="00CA6279">
        <w:rPr>
          <w:rFonts w:cs="Arial"/>
        </w:rPr>
        <w:t>e</w:t>
      </w:r>
      <w:r w:rsidRPr="00CA6279">
        <w:rPr>
          <w:rFonts w:cs="Arial"/>
        </w:rPr>
        <w:t xml:space="preserve">ring af det selvbudgetterede udskrivningsgrundlag, således at Byrådet kan træffe beslutning om valg af enten statsgaranti eller selvbudgettering. </w:t>
      </w:r>
    </w:p>
    <w:p w:rsidR="003D7086" w:rsidRDefault="003D7086"/>
    <w:p w:rsidR="00EC68BA" w:rsidRPr="00376F6E" w:rsidRDefault="00EC68BA" w:rsidP="00EC68BA">
      <w:pPr>
        <w:spacing w:before="120"/>
        <w:jc w:val="both"/>
        <w:rPr>
          <w:rFonts w:cs="Arial"/>
          <w:b/>
          <w:bCs/>
        </w:rPr>
      </w:pPr>
      <w:r w:rsidRPr="00376F6E">
        <w:rPr>
          <w:rFonts w:cs="Arial"/>
          <w:b/>
          <w:bCs/>
        </w:rPr>
        <w:t>3. Selvbudgettering</w:t>
      </w:r>
    </w:p>
    <w:p w:rsidR="00EC68BA" w:rsidRPr="00376F6E" w:rsidRDefault="00EC68BA" w:rsidP="00EC68BA">
      <w:pPr>
        <w:spacing w:before="120"/>
        <w:jc w:val="both"/>
        <w:rPr>
          <w:rFonts w:cs="Arial"/>
        </w:rPr>
      </w:pPr>
      <w:r w:rsidRPr="00376F6E">
        <w:rPr>
          <w:rFonts w:cs="Arial"/>
        </w:rPr>
        <w:t>Ved selvbudgettering beregner kommunen selv det forventede udskrivning</w:t>
      </w:r>
      <w:r w:rsidRPr="00376F6E">
        <w:rPr>
          <w:rFonts w:cs="Arial"/>
        </w:rPr>
        <w:t>s</w:t>
      </w:r>
      <w:r w:rsidRPr="00376F6E">
        <w:rPr>
          <w:rFonts w:cs="Arial"/>
        </w:rPr>
        <w:t>grundlag og provenu. Der er således tale om en prognose for udskrivning</w:t>
      </w:r>
      <w:r w:rsidRPr="00376F6E">
        <w:rPr>
          <w:rFonts w:cs="Arial"/>
        </w:rPr>
        <w:t>s</w:t>
      </w:r>
      <w:r w:rsidRPr="00376F6E">
        <w:rPr>
          <w:rFonts w:cs="Arial"/>
        </w:rPr>
        <w:t>grundlaget. Prognosen for udskrivningsgrundlaget bygger på nogle forudsæ</w:t>
      </w:r>
      <w:r w:rsidRPr="00376F6E">
        <w:rPr>
          <w:rFonts w:cs="Arial"/>
        </w:rPr>
        <w:t>t</w:t>
      </w:r>
      <w:r w:rsidRPr="00376F6E">
        <w:rPr>
          <w:rFonts w:cs="Arial"/>
        </w:rPr>
        <w:t xml:space="preserve">ninger om udviklingen i indkomster, fradrag, demografi mv. En række faktorer påvirker udviklingen og dermed også prognosens træfsikkerhed. </w:t>
      </w:r>
    </w:p>
    <w:p w:rsidR="00EC68BA" w:rsidRPr="00376F6E" w:rsidRDefault="00EC68BA" w:rsidP="00EC68BA">
      <w:pPr>
        <w:spacing w:before="120"/>
        <w:jc w:val="both"/>
        <w:rPr>
          <w:rFonts w:cs="Arial"/>
        </w:rPr>
      </w:pPr>
      <w:r w:rsidRPr="00376F6E">
        <w:rPr>
          <w:rFonts w:cs="Arial"/>
        </w:rPr>
        <w:t>Nogle af de forudsætninger, som prognosen bygger på er ikke ”styrbare” for den enkelte kommune. For eksempel betyder udviklingen i verden omkring os meget for virksomhedernes afsætning og dermed behov for arbejdskraft, m</w:t>
      </w:r>
      <w:r w:rsidRPr="00376F6E">
        <w:rPr>
          <w:rFonts w:cs="Arial"/>
        </w:rPr>
        <w:t>u</w:t>
      </w:r>
      <w:r w:rsidRPr="00376F6E">
        <w:rPr>
          <w:rFonts w:cs="Arial"/>
        </w:rPr>
        <w:t>lighed for investeringer m.m. Det er både de internationale såvel som nation</w:t>
      </w:r>
      <w:r w:rsidRPr="00376F6E">
        <w:rPr>
          <w:rFonts w:cs="Arial"/>
        </w:rPr>
        <w:t>a</w:t>
      </w:r>
      <w:r w:rsidRPr="00376F6E">
        <w:rPr>
          <w:rFonts w:cs="Arial"/>
        </w:rPr>
        <w:t>le og regionale konjunkturer, som påvirker udviklingen i Holstebro Kommune.</w:t>
      </w:r>
    </w:p>
    <w:p w:rsidR="00EC68BA" w:rsidRDefault="00EC68BA" w:rsidP="00EC68BA"/>
    <w:p w:rsidR="009732F3" w:rsidRPr="009732F3" w:rsidRDefault="00A058EA" w:rsidP="00EC68BA">
      <w:pPr>
        <w:spacing w:before="120"/>
        <w:jc w:val="both"/>
        <w:rPr>
          <w:rFonts w:cs="Arial"/>
          <w:b/>
          <w:bCs/>
        </w:rPr>
      </w:pPr>
      <w:r>
        <w:rPr>
          <w:rFonts w:cs="Arial"/>
          <w:b/>
          <w:bCs/>
        </w:rPr>
        <w:t xml:space="preserve">3.1 </w:t>
      </w:r>
      <w:proofErr w:type="spellStart"/>
      <w:r w:rsidR="009732F3" w:rsidRPr="009732F3">
        <w:rPr>
          <w:rFonts w:cs="Arial"/>
          <w:b/>
          <w:bCs/>
        </w:rPr>
        <w:t>KL´s</w:t>
      </w:r>
      <w:proofErr w:type="spellEnd"/>
      <w:r w:rsidR="009732F3" w:rsidRPr="009732F3">
        <w:rPr>
          <w:rFonts w:cs="Arial"/>
          <w:b/>
          <w:bCs/>
        </w:rPr>
        <w:t xml:space="preserve"> Skatte og tilskudsmodel</w:t>
      </w:r>
    </w:p>
    <w:p w:rsidR="006B0F7B" w:rsidRDefault="009732F3" w:rsidP="00441F8B">
      <w:pPr>
        <w:spacing w:before="120"/>
        <w:jc w:val="both"/>
        <w:rPr>
          <w:rFonts w:cs="Arial"/>
          <w:bCs/>
        </w:rPr>
      </w:pPr>
      <w:r w:rsidRPr="009732F3">
        <w:rPr>
          <w:rFonts w:cs="Arial"/>
          <w:bCs/>
        </w:rPr>
        <w:t xml:space="preserve">Holstebro Kommune har </w:t>
      </w:r>
      <w:r w:rsidR="006B0F7B">
        <w:rPr>
          <w:rFonts w:cs="Arial"/>
          <w:bCs/>
        </w:rPr>
        <w:t xml:space="preserve">tidligere </w:t>
      </w:r>
      <w:r>
        <w:rPr>
          <w:rFonts w:cs="Arial"/>
          <w:bCs/>
        </w:rPr>
        <w:t xml:space="preserve">selv </w:t>
      </w:r>
      <w:r w:rsidR="006B0F7B">
        <w:rPr>
          <w:rFonts w:cs="Arial"/>
          <w:bCs/>
        </w:rPr>
        <w:t xml:space="preserve">lavet </w:t>
      </w:r>
      <w:r>
        <w:rPr>
          <w:rFonts w:cs="Arial"/>
          <w:bCs/>
        </w:rPr>
        <w:t xml:space="preserve">beregninger vedr. indkomstskat ud fra </w:t>
      </w:r>
      <w:proofErr w:type="spellStart"/>
      <w:r w:rsidR="006B0F7B">
        <w:rPr>
          <w:rFonts w:cs="Arial"/>
          <w:bCs/>
        </w:rPr>
        <w:t>KMD´s</w:t>
      </w:r>
      <w:proofErr w:type="spellEnd"/>
      <w:r w:rsidR="006B0F7B">
        <w:rPr>
          <w:rFonts w:cs="Arial"/>
          <w:bCs/>
        </w:rPr>
        <w:t xml:space="preserve"> Budgetweb – slutligningsdata, og har ud fra disse estimater a</w:t>
      </w:r>
      <w:r w:rsidR="006B0F7B">
        <w:rPr>
          <w:rFonts w:cs="Arial"/>
          <w:bCs/>
        </w:rPr>
        <w:t>n</w:t>
      </w:r>
      <w:r w:rsidR="006B0F7B">
        <w:rPr>
          <w:rFonts w:cs="Arial"/>
          <w:bCs/>
        </w:rPr>
        <w:t xml:space="preserve">vendt </w:t>
      </w:r>
      <w:proofErr w:type="spellStart"/>
      <w:r w:rsidR="006B0F7B">
        <w:rPr>
          <w:rFonts w:cs="Arial"/>
          <w:bCs/>
        </w:rPr>
        <w:t>KL´s</w:t>
      </w:r>
      <w:proofErr w:type="spellEnd"/>
      <w:r w:rsidR="006B0F7B">
        <w:rPr>
          <w:rFonts w:cs="Arial"/>
          <w:bCs/>
        </w:rPr>
        <w:t xml:space="preserve"> tilskudsmodel til forudsigelse af tilskud og udligning. </w:t>
      </w:r>
    </w:p>
    <w:p w:rsidR="009732F3" w:rsidRDefault="006B0F7B" w:rsidP="00441F8B">
      <w:pPr>
        <w:spacing w:before="120"/>
        <w:jc w:val="both"/>
        <w:rPr>
          <w:rFonts w:cs="Arial"/>
          <w:bCs/>
        </w:rPr>
      </w:pPr>
      <w:proofErr w:type="spellStart"/>
      <w:r>
        <w:rPr>
          <w:rFonts w:cs="Arial"/>
          <w:bCs/>
        </w:rPr>
        <w:t>KL´s</w:t>
      </w:r>
      <w:proofErr w:type="spellEnd"/>
      <w:r>
        <w:rPr>
          <w:rFonts w:cs="Arial"/>
          <w:bCs/>
        </w:rPr>
        <w:t xml:space="preserve"> tilskudsmodel er</w:t>
      </w:r>
      <w:r w:rsidR="009732F3">
        <w:rPr>
          <w:rFonts w:cs="Arial"/>
          <w:bCs/>
        </w:rPr>
        <w:t xml:space="preserve"> for budgetåret 2014 udvidet, så det nu er en Skatte og tilskudsmodel og dæk</w:t>
      </w:r>
      <w:r>
        <w:rPr>
          <w:rFonts w:cs="Arial"/>
          <w:bCs/>
        </w:rPr>
        <w:t>ker således også det område som kommunen tidligere selv estimerede.</w:t>
      </w:r>
    </w:p>
    <w:p w:rsidR="009732F3" w:rsidRPr="009732F3" w:rsidRDefault="006B0F7B" w:rsidP="00441F8B">
      <w:pPr>
        <w:pStyle w:val="Default"/>
        <w:jc w:val="both"/>
        <w:rPr>
          <w:color w:val="auto"/>
        </w:rPr>
      </w:pPr>
      <w:proofErr w:type="spellStart"/>
      <w:r>
        <w:rPr>
          <w:color w:val="auto"/>
        </w:rPr>
        <w:t>KL´s</w:t>
      </w:r>
      <w:proofErr w:type="spellEnd"/>
      <w:r>
        <w:rPr>
          <w:color w:val="auto"/>
        </w:rPr>
        <w:t xml:space="preserve"> Skatteprognose</w:t>
      </w:r>
      <w:r w:rsidR="009732F3" w:rsidRPr="009732F3">
        <w:rPr>
          <w:color w:val="auto"/>
        </w:rPr>
        <w:t xml:space="preserve"> er baseret på slutligningsdata fra SKAT for den enkelte kommune. KL har valgt at basere skatteprognosen på data fra SKAT, dels fordi SKAT er den direkte kilde til skattedata, dels for at gøre modellen ua</w:t>
      </w:r>
      <w:r w:rsidR="009732F3" w:rsidRPr="009732F3">
        <w:rPr>
          <w:color w:val="auto"/>
        </w:rPr>
        <w:t>f</w:t>
      </w:r>
      <w:r w:rsidR="009732F3" w:rsidRPr="009732F3">
        <w:rPr>
          <w:color w:val="auto"/>
        </w:rPr>
        <w:t xml:space="preserve">hængig af andre produkter. </w:t>
      </w:r>
    </w:p>
    <w:p w:rsidR="009732F3" w:rsidRDefault="009732F3" w:rsidP="00441F8B">
      <w:pPr>
        <w:spacing w:before="120"/>
        <w:jc w:val="both"/>
        <w:rPr>
          <w:rFonts w:cs="Arial"/>
          <w:bCs/>
        </w:rPr>
      </w:pPr>
    </w:p>
    <w:p w:rsidR="00441F8B" w:rsidRPr="00441F8B" w:rsidRDefault="00441F8B" w:rsidP="00441F8B">
      <w:pPr>
        <w:pStyle w:val="Default"/>
        <w:jc w:val="both"/>
        <w:rPr>
          <w:color w:val="auto"/>
        </w:rPr>
      </w:pPr>
      <w:r w:rsidRPr="00441F8B">
        <w:rPr>
          <w:color w:val="auto"/>
        </w:rPr>
        <w:t xml:space="preserve">Foruden data fra SKAT indgår der i skatteprognosen en række andre </w:t>
      </w:r>
      <w:proofErr w:type="spellStart"/>
      <w:r w:rsidRPr="00441F8B">
        <w:rPr>
          <w:color w:val="auto"/>
        </w:rPr>
        <w:t>oplys-ninger</w:t>
      </w:r>
      <w:proofErr w:type="spellEnd"/>
      <w:r w:rsidRPr="00441F8B">
        <w:rPr>
          <w:color w:val="auto"/>
        </w:rPr>
        <w:t xml:space="preserve">, data om man vil. Det er historiske data om kommunernes </w:t>
      </w:r>
      <w:proofErr w:type="spellStart"/>
      <w:r w:rsidRPr="00441F8B">
        <w:rPr>
          <w:color w:val="auto"/>
        </w:rPr>
        <w:t>udskriv-ningsprocenter</w:t>
      </w:r>
      <w:proofErr w:type="spellEnd"/>
      <w:r w:rsidRPr="00441F8B">
        <w:rPr>
          <w:color w:val="auto"/>
        </w:rPr>
        <w:t xml:space="preserve">, valg af statsgaranti/selvbudgettering, udskrivningsgrundlag mv. i tidligere år. Disse data er primært hentet i Statistikbanken hos </w:t>
      </w:r>
      <w:proofErr w:type="spellStart"/>
      <w:r w:rsidRPr="00441F8B">
        <w:rPr>
          <w:color w:val="auto"/>
        </w:rPr>
        <w:t>Dan-marks</w:t>
      </w:r>
      <w:proofErr w:type="spellEnd"/>
      <w:r w:rsidRPr="00441F8B">
        <w:rPr>
          <w:color w:val="auto"/>
        </w:rPr>
        <w:t xml:space="preserve"> Statistik og i Økonomi- og Indenrigsministeriet. </w:t>
      </w:r>
    </w:p>
    <w:p w:rsidR="00441F8B" w:rsidRDefault="00441F8B" w:rsidP="00441F8B">
      <w:pPr>
        <w:pStyle w:val="Default"/>
        <w:jc w:val="both"/>
        <w:rPr>
          <w:color w:val="auto"/>
        </w:rPr>
      </w:pPr>
      <w:r w:rsidRPr="00441F8B">
        <w:rPr>
          <w:color w:val="auto"/>
        </w:rPr>
        <w:t>Befolkningsfremskrivningen i prognosen er som udgangspunkt baseret på o</w:t>
      </w:r>
      <w:r w:rsidRPr="00441F8B">
        <w:rPr>
          <w:color w:val="auto"/>
        </w:rPr>
        <w:t>p</w:t>
      </w:r>
      <w:r w:rsidRPr="00441F8B">
        <w:rPr>
          <w:color w:val="auto"/>
        </w:rPr>
        <w:t xml:space="preserve">lysninger fra Danmarks Statistik, jf. afsnittet om befolkningsudvikling. </w:t>
      </w:r>
    </w:p>
    <w:p w:rsidR="00441F8B" w:rsidRDefault="00441F8B" w:rsidP="00441F8B">
      <w:pPr>
        <w:pStyle w:val="Default"/>
        <w:jc w:val="both"/>
        <w:rPr>
          <w:color w:val="auto"/>
        </w:rPr>
      </w:pPr>
    </w:p>
    <w:p w:rsidR="00441F8B" w:rsidRDefault="00A058EA" w:rsidP="00441F8B">
      <w:pPr>
        <w:pStyle w:val="Default"/>
        <w:rPr>
          <w:b/>
          <w:bCs/>
          <w:color w:val="auto"/>
        </w:rPr>
      </w:pPr>
      <w:r>
        <w:rPr>
          <w:b/>
          <w:bCs/>
          <w:color w:val="auto"/>
        </w:rPr>
        <w:lastRenderedPageBreak/>
        <w:t xml:space="preserve">3.2 </w:t>
      </w:r>
      <w:r w:rsidR="00441F8B" w:rsidRPr="00441F8B">
        <w:rPr>
          <w:b/>
          <w:bCs/>
          <w:color w:val="auto"/>
        </w:rPr>
        <w:t xml:space="preserve">Valgmuligheder i modellen </w:t>
      </w:r>
    </w:p>
    <w:p w:rsidR="00A058EA" w:rsidRPr="00441F8B" w:rsidRDefault="00A058EA" w:rsidP="00441F8B">
      <w:pPr>
        <w:pStyle w:val="Default"/>
        <w:rPr>
          <w:color w:val="auto"/>
        </w:rPr>
      </w:pPr>
    </w:p>
    <w:p w:rsidR="00441F8B" w:rsidRPr="00441F8B" w:rsidRDefault="00441F8B" w:rsidP="00441F8B">
      <w:pPr>
        <w:pStyle w:val="Default"/>
        <w:rPr>
          <w:color w:val="auto"/>
        </w:rPr>
      </w:pPr>
      <w:r w:rsidRPr="00441F8B">
        <w:rPr>
          <w:color w:val="auto"/>
        </w:rPr>
        <w:t xml:space="preserve">Skatteprognosen giver en række muligheder for, at kommunen kan justere prognosens fremskrivning ved at indlægge egne forudsætninger. Det gælder: </w:t>
      </w:r>
    </w:p>
    <w:p w:rsidR="00441F8B" w:rsidRDefault="00441F8B" w:rsidP="00441F8B">
      <w:pPr>
        <w:pStyle w:val="Default"/>
        <w:numPr>
          <w:ilvl w:val="0"/>
          <w:numId w:val="7"/>
        </w:numPr>
        <w:spacing w:after="40"/>
        <w:rPr>
          <w:color w:val="auto"/>
        </w:rPr>
      </w:pPr>
      <w:r w:rsidRPr="00441F8B">
        <w:rPr>
          <w:color w:val="auto"/>
        </w:rPr>
        <w:t xml:space="preserve">Befolkningsudviklingen – kommunen kan anvende sin egen </w:t>
      </w:r>
      <w:proofErr w:type="spellStart"/>
      <w:r w:rsidRPr="00441F8B">
        <w:rPr>
          <w:color w:val="auto"/>
        </w:rPr>
        <w:t>befolk-ningsprognose</w:t>
      </w:r>
      <w:proofErr w:type="spellEnd"/>
    </w:p>
    <w:p w:rsidR="00441F8B" w:rsidRPr="00441F8B" w:rsidRDefault="00441F8B" w:rsidP="00441F8B">
      <w:pPr>
        <w:pStyle w:val="Default"/>
        <w:numPr>
          <w:ilvl w:val="0"/>
          <w:numId w:val="7"/>
        </w:numPr>
        <w:spacing w:after="40"/>
        <w:rPr>
          <w:color w:val="auto"/>
        </w:rPr>
      </w:pPr>
      <w:r w:rsidRPr="00441F8B">
        <w:rPr>
          <w:color w:val="auto"/>
        </w:rPr>
        <w:t xml:space="preserve">Skattesatser – kommunen kan ændre i udskrivningsprocenten i 2014-17 og se den umiddelbare provenueffekt heraf </w:t>
      </w:r>
    </w:p>
    <w:p w:rsidR="00441F8B" w:rsidRPr="00441F8B" w:rsidRDefault="00441F8B" w:rsidP="00441F8B">
      <w:pPr>
        <w:pStyle w:val="Default"/>
        <w:numPr>
          <w:ilvl w:val="0"/>
          <w:numId w:val="7"/>
        </w:numPr>
        <w:spacing w:after="40"/>
        <w:rPr>
          <w:color w:val="auto"/>
        </w:rPr>
      </w:pPr>
      <w:proofErr w:type="spellStart"/>
      <w:r w:rsidRPr="00441F8B">
        <w:rPr>
          <w:color w:val="auto"/>
        </w:rPr>
        <w:t>Til-</w:t>
      </w:r>
      <w:proofErr w:type="spellEnd"/>
      <w:r w:rsidRPr="00441F8B">
        <w:rPr>
          <w:color w:val="auto"/>
        </w:rPr>
        <w:t xml:space="preserve"> og fraflytning – kommunen kan ændre skattegrundlaget for </w:t>
      </w:r>
      <w:proofErr w:type="spellStart"/>
      <w:r w:rsidRPr="00441F8B">
        <w:rPr>
          <w:color w:val="auto"/>
        </w:rPr>
        <w:t>til-</w:t>
      </w:r>
      <w:proofErr w:type="spellEnd"/>
      <w:r w:rsidRPr="00441F8B">
        <w:rPr>
          <w:color w:val="auto"/>
        </w:rPr>
        <w:t xml:space="preserve"> og fraflyttere </w:t>
      </w:r>
    </w:p>
    <w:p w:rsidR="00441F8B" w:rsidRDefault="00441F8B" w:rsidP="00441F8B">
      <w:pPr>
        <w:pStyle w:val="Default"/>
        <w:numPr>
          <w:ilvl w:val="0"/>
          <w:numId w:val="7"/>
        </w:numPr>
        <w:spacing w:after="40"/>
        <w:rPr>
          <w:color w:val="auto"/>
        </w:rPr>
      </w:pPr>
      <w:r w:rsidRPr="00441F8B">
        <w:rPr>
          <w:color w:val="auto"/>
        </w:rPr>
        <w:t>Komponentfordelte skøn – kommunen kan justere KL’s skøn over u</w:t>
      </w:r>
      <w:r w:rsidRPr="00441F8B">
        <w:rPr>
          <w:color w:val="auto"/>
        </w:rPr>
        <w:t>d</w:t>
      </w:r>
      <w:r w:rsidRPr="00441F8B">
        <w:rPr>
          <w:color w:val="auto"/>
        </w:rPr>
        <w:t xml:space="preserve">viklingen pr. skattepligtig på de enkelte komponenter i </w:t>
      </w:r>
      <w:proofErr w:type="spellStart"/>
      <w:r w:rsidRPr="00441F8B">
        <w:rPr>
          <w:color w:val="auto"/>
        </w:rPr>
        <w:t>udskriv-ningsgrundlaget</w:t>
      </w:r>
      <w:proofErr w:type="spellEnd"/>
    </w:p>
    <w:p w:rsidR="00441F8B" w:rsidRPr="00441F8B" w:rsidRDefault="00441F8B" w:rsidP="00441F8B">
      <w:pPr>
        <w:pStyle w:val="Default"/>
        <w:numPr>
          <w:ilvl w:val="0"/>
          <w:numId w:val="7"/>
        </w:numPr>
        <w:spacing w:after="40"/>
        <w:rPr>
          <w:color w:val="auto"/>
        </w:rPr>
      </w:pPr>
      <w:r w:rsidRPr="00441F8B">
        <w:rPr>
          <w:color w:val="auto"/>
        </w:rPr>
        <w:t xml:space="preserve">Manglende slutlignede – kommunen kan indtaste egne </w:t>
      </w:r>
      <w:proofErr w:type="spellStart"/>
      <w:r w:rsidRPr="00441F8B">
        <w:rPr>
          <w:color w:val="auto"/>
        </w:rPr>
        <w:t>forudsætnin-ger</w:t>
      </w:r>
      <w:proofErr w:type="spellEnd"/>
      <w:r w:rsidRPr="00441F8B">
        <w:rPr>
          <w:color w:val="auto"/>
        </w:rPr>
        <w:t xml:space="preserve"> om de manglende slutlignede </w:t>
      </w:r>
    </w:p>
    <w:p w:rsidR="00441F8B" w:rsidRPr="00441F8B" w:rsidRDefault="00441F8B" w:rsidP="00441F8B">
      <w:pPr>
        <w:pStyle w:val="Default"/>
        <w:numPr>
          <w:ilvl w:val="0"/>
          <w:numId w:val="7"/>
        </w:numPr>
        <w:spacing w:after="40"/>
        <w:rPr>
          <w:color w:val="auto"/>
        </w:rPr>
      </w:pPr>
      <w:r w:rsidRPr="00441F8B">
        <w:rPr>
          <w:color w:val="auto"/>
        </w:rPr>
        <w:t xml:space="preserve">Faktisk skattegrundlag – kommunen kan vælge det faktiske skatte-grundlag i stedet for efterreguleringsgrundlaget </w:t>
      </w:r>
    </w:p>
    <w:p w:rsidR="00441F8B" w:rsidRPr="00441F8B" w:rsidRDefault="00441F8B" w:rsidP="00441F8B">
      <w:pPr>
        <w:pStyle w:val="Default"/>
        <w:numPr>
          <w:ilvl w:val="0"/>
          <w:numId w:val="7"/>
        </w:numPr>
        <w:rPr>
          <w:color w:val="auto"/>
        </w:rPr>
      </w:pPr>
      <w:r w:rsidRPr="00441F8B">
        <w:rPr>
          <w:color w:val="auto"/>
        </w:rPr>
        <w:t xml:space="preserve">Eget skattegrundlaget – kommunen kan vælge selv at indtaste </w:t>
      </w:r>
      <w:proofErr w:type="spellStart"/>
      <w:r w:rsidRPr="00441F8B">
        <w:rPr>
          <w:color w:val="auto"/>
        </w:rPr>
        <w:t>kom-munens</w:t>
      </w:r>
      <w:proofErr w:type="spellEnd"/>
      <w:r w:rsidRPr="00441F8B">
        <w:rPr>
          <w:color w:val="auto"/>
        </w:rPr>
        <w:t xml:space="preserve"> skønnede samlede skattegrundlag i hvert af årene </w:t>
      </w:r>
    </w:p>
    <w:p w:rsidR="00441F8B" w:rsidRPr="00441F8B" w:rsidRDefault="00441F8B" w:rsidP="00441F8B">
      <w:pPr>
        <w:pStyle w:val="Default"/>
        <w:jc w:val="both"/>
        <w:rPr>
          <w:color w:val="auto"/>
        </w:rPr>
      </w:pPr>
    </w:p>
    <w:p w:rsidR="00441F8B" w:rsidRPr="00A058EA" w:rsidRDefault="00A058EA" w:rsidP="00441F8B">
      <w:pPr>
        <w:pStyle w:val="Default"/>
        <w:rPr>
          <w:color w:val="auto"/>
        </w:rPr>
      </w:pPr>
      <w:r w:rsidRPr="00A058EA">
        <w:rPr>
          <w:color w:val="auto"/>
        </w:rPr>
        <w:t>Modellen er bygget</w:t>
      </w:r>
      <w:r w:rsidR="00441F8B" w:rsidRPr="00A058EA">
        <w:rPr>
          <w:color w:val="auto"/>
        </w:rPr>
        <w:t xml:space="preserve"> sådan</w:t>
      </w:r>
      <w:r w:rsidRPr="00A058EA">
        <w:rPr>
          <w:color w:val="auto"/>
        </w:rPr>
        <w:t>,</w:t>
      </w:r>
      <w:r w:rsidR="00441F8B" w:rsidRPr="00A058EA">
        <w:rPr>
          <w:color w:val="auto"/>
        </w:rPr>
        <w:t xml:space="preserve"> </w:t>
      </w:r>
      <w:r w:rsidRPr="00A058EA">
        <w:rPr>
          <w:color w:val="auto"/>
        </w:rPr>
        <w:t xml:space="preserve">at </w:t>
      </w:r>
      <w:r w:rsidR="00441F8B" w:rsidRPr="00A058EA">
        <w:rPr>
          <w:color w:val="auto"/>
        </w:rPr>
        <w:t>kommunen kan vælge mellem forskellige dat</w:t>
      </w:r>
      <w:r w:rsidR="00441F8B" w:rsidRPr="00A058EA">
        <w:rPr>
          <w:color w:val="auto"/>
        </w:rPr>
        <w:t>a</w:t>
      </w:r>
      <w:r w:rsidR="00441F8B" w:rsidRPr="00A058EA">
        <w:rPr>
          <w:color w:val="auto"/>
        </w:rPr>
        <w:t xml:space="preserve">grundlag (skattekørsler) og derved løbende følge udviklingen i ligningen og påvirkningen på kommunens indtægter. </w:t>
      </w:r>
    </w:p>
    <w:p w:rsidR="009732F3" w:rsidRPr="009732F3" w:rsidRDefault="009732F3" w:rsidP="00EC68BA">
      <w:pPr>
        <w:spacing w:before="120"/>
        <w:jc w:val="both"/>
        <w:rPr>
          <w:rFonts w:cs="Arial"/>
          <w:bCs/>
        </w:rPr>
      </w:pPr>
    </w:p>
    <w:p w:rsidR="009732F3" w:rsidRDefault="009732F3" w:rsidP="00EC68BA">
      <w:pPr>
        <w:spacing w:before="120"/>
        <w:jc w:val="both"/>
        <w:rPr>
          <w:rFonts w:cs="Arial"/>
          <w:b/>
          <w:bCs/>
        </w:rPr>
      </w:pPr>
    </w:p>
    <w:p w:rsidR="00EC68BA" w:rsidRPr="0016717A" w:rsidRDefault="00EC68BA" w:rsidP="00EC68BA">
      <w:pPr>
        <w:spacing w:before="120"/>
        <w:jc w:val="both"/>
        <w:rPr>
          <w:rFonts w:cs="Arial"/>
          <w:b/>
          <w:bCs/>
        </w:rPr>
      </w:pPr>
      <w:r w:rsidRPr="0016717A">
        <w:rPr>
          <w:rFonts w:cs="Arial"/>
          <w:b/>
          <w:bCs/>
        </w:rPr>
        <w:t>3.1. Udsk</w:t>
      </w:r>
      <w:r w:rsidR="00A91AAF">
        <w:rPr>
          <w:rFonts w:cs="Arial"/>
          <w:b/>
          <w:bCs/>
        </w:rPr>
        <w:t>rivningsgrundlaget for 2011</w:t>
      </w:r>
      <w:r w:rsidRPr="0016717A">
        <w:rPr>
          <w:rFonts w:cs="Arial"/>
          <w:b/>
          <w:bCs/>
        </w:rPr>
        <w:t>.</w:t>
      </w:r>
    </w:p>
    <w:p w:rsidR="00EC68BA" w:rsidRPr="0016717A" w:rsidRDefault="00EC68BA" w:rsidP="00EC68BA">
      <w:pPr>
        <w:spacing w:before="120"/>
        <w:jc w:val="both"/>
        <w:rPr>
          <w:rFonts w:cs="Arial"/>
        </w:rPr>
      </w:pPr>
      <w:r w:rsidRPr="0016717A">
        <w:rPr>
          <w:rFonts w:cs="Arial"/>
        </w:rPr>
        <w:t>En vurdering af</w:t>
      </w:r>
      <w:r w:rsidR="00097B73">
        <w:rPr>
          <w:rFonts w:cs="Arial"/>
        </w:rPr>
        <w:t xml:space="preserve"> udskrivningsgrundlaget for 2014</w:t>
      </w:r>
      <w:r w:rsidRPr="0016717A">
        <w:rPr>
          <w:rFonts w:cs="Arial"/>
        </w:rPr>
        <w:t xml:space="preserve"> kan opdeles i følgende el</w:t>
      </w:r>
      <w:r w:rsidRPr="0016717A">
        <w:rPr>
          <w:rFonts w:cs="Arial"/>
        </w:rPr>
        <w:t>e</w:t>
      </w:r>
      <w:r w:rsidRPr="0016717A">
        <w:rPr>
          <w:rFonts w:cs="Arial"/>
        </w:rPr>
        <w:t>menter:</w:t>
      </w:r>
    </w:p>
    <w:p w:rsidR="00EC68BA" w:rsidRPr="0016717A" w:rsidRDefault="00EC68BA" w:rsidP="00EC68BA">
      <w:pPr>
        <w:numPr>
          <w:ilvl w:val="0"/>
          <w:numId w:val="2"/>
        </w:numPr>
        <w:spacing w:before="120"/>
        <w:jc w:val="both"/>
        <w:rPr>
          <w:rFonts w:cs="Arial"/>
        </w:rPr>
      </w:pPr>
      <w:r w:rsidRPr="0016717A">
        <w:rPr>
          <w:rFonts w:cs="Arial"/>
        </w:rPr>
        <w:t xml:space="preserve">En vurdering af udskrivningsgrundlaget for </w:t>
      </w:r>
      <w:r w:rsidR="00097B73">
        <w:rPr>
          <w:rFonts w:cs="Arial"/>
        </w:rPr>
        <w:t>2012</w:t>
      </w:r>
      <w:r>
        <w:rPr>
          <w:rFonts w:cs="Arial"/>
        </w:rPr>
        <w:t xml:space="preserve"> (og der</w:t>
      </w:r>
      <w:r w:rsidR="00097B73">
        <w:rPr>
          <w:rFonts w:cs="Arial"/>
        </w:rPr>
        <w:t>med væksten fra 2011 til 2012</w:t>
      </w:r>
      <w:r>
        <w:rPr>
          <w:rFonts w:cs="Arial"/>
        </w:rPr>
        <w:t xml:space="preserve">) ud fra de </w:t>
      </w:r>
      <w:r w:rsidR="00C6185E">
        <w:rPr>
          <w:rFonts w:cs="Arial"/>
          <w:color w:val="000000"/>
        </w:rPr>
        <w:t>99</w:t>
      </w:r>
      <w:r>
        <w:rPr>
          <w:rFonts w:cs="Arial"/>
          <w:color w:val="000000"/>
        </w:rPr>
        <w:t>,</w:t>
      </w:r>
      <w:r w:rsidR="00A77100">
        <w:rPr>
          <w:rFonts w:cs="Arial"/>
          <w:color w:val="000000"/>
        </w:rPr>
        <w:t>33</w:t>
      </w:r>
      <w:r w:rsidRPr="0016717A">
        <w:rPr>
          <w:rFonts w:cs="Arial"/>
        </w:rPr>
        <w:t xml:space="preserve"> % af de selvangivne indkomster, der på n</w:t>
      </w:r>
      <w:r w:rsidRPr="0016717A">
        <w:rPr>
          <w:rFonts w:cs="Arial"/>
        </w:rPr>
        <w:t>u</w:t>
      </w:r>
      <w:r w:rsidRPr="0016717A">
        <w:rPr>
          <w:rFonts w:cs="Arial"/>
        </w:rPr>
        <w:t>værende tidspunkt er indberettet.</w:t>
      </w:r>
      <w:r w:rsidR="00A77100">
        <w:rPr>
          <w:rFonts w:cs="Arial"/>
        </w:rPr>
        <w:t xml:space="preserve"> (27. skattekørsel den 17</w:t>
      </w:r>
      <w:r w:rsidR="00C6185E">
        <w:rPr>
          <w:rFonts w:cs="Arial"/>
        </w:rPr>
        <w:t xml:space="preserve">. </w:t>
      </w:r>
      <w:r w:rsidR="00A77100">
        <w:rPr>
          <w:rFonts w:cs="Arial"/>
        </w:rPr>
        <w:t>september</w:t>
      </w:r>
      <w:r w:rsidR="006C1A56">
        <w:rPr>
          <w:rFonts w:cs="Arial"/>
        </w:rPr>
        <w:t xml:space="preserve"> 2013</w:t>
      </w:r>
      <w:r>
        <w:rPr>
          <w:rFonts w:cs="Arial"/>
        </w:rPr>
        <w:t>)</w:t>
      </w:r>
    </w:p>
    <w:p w:rsidR="00EC68BA" w:rsidRPr="0016717A" w:rsidRDefault="00EC68BA" w:rsidP="00EC68BA">
      <w:pPr>
        <w:numPr>
          <w:ilvl w:val="0"/>
          <w:numId w:val="2"/>
        </w:numPr>
        <w:spacing w:before="120"/>
        <w:jc w:val="both"/>
        <w:rPr>
          <w:rFonts w:cs="Arial"/>
        </w:rPr>
      </w:pPr>
      <w:r w:rsidRPr="0016717A">
        <w:rPr>
          <w:rFonts w:cs="Arial"/>
        </w:rPr>
        <w:t>En vurdering af d</w:t>
      </w:r>
      <w:r w:rsidR="006C1A56">
        <w:rPr>
          <w:rFonts w:cs="Arial"/>
        </w:rPr>
        <w:t>en forventede udvikling fra 2011 til 2013</w:t>
      </w:r>
      <w:r w:rsidRPr="0016717A">
        <w:rPr>
          <w:rFonts w:cs="Arial"/>
        </w:rPr>
        <w:t>, blandt andet ud fra en vurdering af udmeldingerne fra KL og Indenrigs- og Sundhedsmin</w:t>
      </w:r>
      <w:r w:rsidRPr="0016717A">
        <w:rPr>
          <w:rFonts w:cs="Arial"/>
        </w:rPr>
        <w:t>i</w:t>
      </w:r>
      <w:r w:rsidRPr="0016717A">
        <w:rPr>
          <w:rFonts w:cs="Arial"/>
        </w:rPr>
        <w:t xml:space="preserve">steriet. </w:t>
      </w:r>
    </w:p>
    <w:p w:rsidR="00EC68BA" w:rsidRDefault="00EC68BA" w:rsidP="00EC68BA"/>
    <w:p w:rsidR="00EC68BA" w:rsidRPr="00AC2F67" w:rsidRDefault="00EC68BA" w:rsidP="00EC68BA">
      <w:pPr>
        <w:spacing w:before="120"/>
        <w:jc w:val="both"/>
        <w:rPr>
          <w:rFonts w:cs="Arial"/>
          <w:b/>
          <w:bCs/>
        </w:rPr>
      </w:pPr>
      <w:r w:rsidRPr="00AC2F67">
        <w:rPr>
          <w:rFonts w:cs="Arial"/>
          <w:b/>
          <w:bCs/>
        </w:rPr>
        <w:t>A.</w:t>
      </w:r>
      <w:r w:rsidR="006C1A56">
        <w:rPr>
          <w:rFonts w:cs="Arial"/>
          <w:b/>
          <w:bCs/>
        </w:rPr>
        <w:t xml:space="preserve"> Udskrivningsgrundlaget for 2012</w:t>
      </w:r>
      <w:r w:rsidRPr="00AC2F67">
        <w:rPr>
          <w:rFonts w:cs="Arial"/>
          <w:b/>
          <w:bCs/>
        </w:rPr>
        <w:t>.</w:t>
      </w:r>
    </w:p>
    <w:p w:rsidR="00EC68BA" w:rsidRDefault="00EC68BA" w:rsidP="00EC68BA">
      <w:pPr>
        <w:spacing w:before="120"/>
        <w:jc w:val="both"/>
        <w:rPr>
          <w:rFonts w:cs="Arial"/>
        </w:rPr>
      </w:pPr>
      <w:r w:rsidRPr="00AC2F67">
        <w:rPr>
          <w:rFonts w:cs="Arial"/>
        </w:rPr>
        <w:t>Der er på nu</w:t>
      </w:r>
      <w:r w:rsidR="00A77100">
        <w:rPr>
          <w:rFonts w:cs="Arial"/>
        </w:rPr>
        <w:t>værende tidspunkt medtaget 99,33</w:t>
      </w:r>
      <w:r w:rsidRPr="00AC2F67">
        <w:rPr>
          <w:rFonts w:cs="Arial"/>
        </w:rPr>
        <w:t xml:space="preserve"> % af de selvangivne indko</w:t>
      </w:r>
      <w:r w:rsidRPr="00AC2F67">
        <w:rPr>
          <w:rFonts w:cs="Arial"/>
        </w:rPr>
        <w:t>m</w:t>
      </w:r>
      <w:r w:rsidR="006C1A56">
        <w:rPr>
          <w:rFonts w:cs="Arial"/>
        </w:rPr>
        <w:t>ster for indkomståret 2012</w:t>
      </w:r>
      <w:r w:rsidRPr="00AC2F67">
        <w:rPr>
          <w:rFonts w:cs="Arial"/>
        </w:rPr>
        <w:t xml:space="preserve">. En vurdering </w:t>
      </w:r>
      <w:r w:rsidR="00C6185E">
        <w:rPr>
          <w:rFonts w:cs="Arial"/>
        </w:rPr>
        <w:t>af indkomsten for de sidste 0</w:t>
      </w:r>
      <w:r w:rsidR="00B328A7">
        <w:rPr>
          <w:rFonts w:cs="Arial"/>
        </w:rPr>
        <w:t>,</w:t>
      </w:r>
      <w:r w:rsidR="00A77100">
        <w:rPr>
          <w:rFonts w:cs="Arial"/>
        </w:rPr>
        <w:t>66</w:t>
      </w:r>
      <w:r w:rsidRPr="00AC2F67">
        <w:rPr>
          <w:rFonts w:cs="Arial"/>
        </w:rPr>
        <w:t xml:space="preserve"> % er derfor betydende for vurderingen af det samlede udskrivningsgrundlag.</w:t>
      </w:r>
    </w:p>
    <w:p w:rsidR="00EC68BA" w:rsidRDefault="00EC68BA" w:rsidP="00EC68BA">
      <w:pPr>
        <w:spacing w:before="120"/>
        <w:jc w:val="both"/>
        <w:rPr>
          <w:rFonts w:cs="Arial"/>
        </w:rPr>
      </w:pPr>
      <w:r>
        <w:rPr>
          <w:rFonts w:cs="Arial"/>
        </w:rPr>
        <w:t>Der er på nuv</w:t>
      </w:r>
      <w:r w:rsidR="00A77100">
        <w:rPr>
          <w:rFonts w:cs="Arial"/>
        </w:rPr>
        <w:t>ærende tidspunkt medtaget 47.899 personer i 27</w:t>
      </w:r>
      <w:r>
        <w:rPr>
          <w:rFonts w:cs="Arial"/>
        </w:rPr>
        <w:t xml:space="preserve">. skattekørsel, </w:t>
      </w:r>
    </w:p>
    <w:p w:rsidR="009732F3" w:rsidRDefault="009732F3" w:rsidP="00EC68BA">
      <w:pPr>
        <w:spacing w:before="120"/>
        <w:jc w:val="both"/>
        <w:rPr>
          <w:rFonts w:cs="Arial"/>
          <w:b/>
        </w:rPr>
      </w:pPr>
    </w:p>
    <w:p w:rsidR="00EC68BA" w:rsidRPr="004806E8" w:rsidRDefault="00EC68BA" w:rsidP="00EC68BA">
      <w:pPr>
        <w:spacing w:before="120"/>
        <w:jc w:val="both"/>
        <w:rPr>
          <w:rFonts w:cs="Arial"/>
          <w:b/>
        </w:rPr>
      </w:pPr>
      <w:r w:rsidRPr="004806E8">
        <w:rPr>
          <w:rFonts w:cs="Arial"/>
          <w:b/>
        </w:rPr>
        <w:lastRenderedPageBreak/>
        <w:t>Tabel 2. Slutligningss</w:t>
      </w:r>
      <w:r w:rsidR="006C1A56">
        <w:rPr>
          <w:rFonts w:cs="Arial"/>
          <w:b/>
        </w:rPr>
        <w:t>tati</w:t>
      </w:r>
      <w:r w:rsidR="00763B1E">
        <w:rPr>
          <w:rFonts w:cs="Arial"/>
          <w:b/>
        </w:rPr>
        <w:t xml:space="preserve">stik 2012 </w:t>
      </w:r>
      <w:proofErr w:type="spellStart"/>
      <w:r w:rsidR="00763B1E">
        <w:rPr>
          <w:rFonts w:cs="Arial"/>
          <w:b/>
        </w:rPr>
        <w:t>Kørselsnr</w:t>
      </w:r>
      <w:proofErr w:type="spellEnd"/>
      <w:r w:rsidR="00763B1E">
        <w:rPr>
          <w:rFonts w:cs="Arial"/>
          <w:b/>
        </w:rPr>
        <w:t xml:space="preserve">. </w:t>
      </w:r>
      <w:r w:rsidR="004A37EF">
        <w:rPr>
          <w:rFonts w:cs="Arial"/>
          <w:b/>
        </w:rPr>
        <w:t xml:space="preserve">21 </w:t>
      </w:r>
      <w:r w:rsidR="00763B1E">
        <w:rPr>
          <w:rFonts w:cs="Arial"/>
          <w:b/>
        </w:rPr>
        <w:t xml:space="preserve">T&amp;S: </w:t>
      </w:r>
      <w:r w:rsidR="004A37EF">
        <w:rPr>
          <w:rFonts w:cs="Arial"/>
          <w:b/>
        </w:rPr>
        <w:t xml:space="preserve"> 08.08</w:t>
      </w:r>
      <w:r w:rsidR="00A05F72">
        <w:rPr>
          <w:rFonts w:cs="Arial"/>
          <w:b/>
        </w:rPr>
        <w:t>.201</w:t>
      </w:r>
      <w:r w:rsidR="006C1A56">
        <w:rPr>
          <w:rFonts w:cs="Arial"/>
          <w:b/>
        </w:rPr>
        <w:t>3</w:t>
      </w:r>
    </w:p>
    <w:tbl>
      <w:tblPr>
        <w:tblW w:w="8433" w:type="dxa"/>
        <w:tblBorders>
          <w:top w:val="single" w:sz="6" w:space="0" w:color="000000"/>
          <w:bottom w:val="single" w:sz="6" w:space="0" w:color="000000"/>
          <w:insideH w:val="single" w:sz="6" w:space="0" w:color="000000"/>
        </w:tblBorders>
        <w:tblLayout w:type="fixed"/>
        <w:tblCellMar>
          <w:left w:w="70" w:type="dxa"/>
          <w:right w:w="70" w:type="dxa"/>
        </w:tblCellMar>
        <w:tblLook w:val="00BF"/>
      </w:tblPr>
      <w:tblGrid>
        <w:gridCol w:w="3910"/>
        <w:gridCol w:w="1200"/>
        <w:gridCol w:w="1800"/>
        <w:gridCol w:w="1523"/>
      </w:tblGrid>
      <w:tr w:rsidR="00EC68BA" w:rsidRPr="00CA6279" w:rsidTr="001E1545">
        <w:tc>
          <w:tcPr>
            <w:tcW w:w="3910" w:type="dxa"/>
          </w:tcPr>
          <w:p w:rsidR="00EC68BA" w:rsidRPr="00CA6279" w:rsidRDefault="00EC68BA" w:rsidP="001E1545">
            <w:pPr>
              <w:jc w:val="both"/>
              <w:rPr>
                <w:rFonts w:cs="Arial"/>
              </w:rPr>
            </w:pPr>
          </w:p>
        </w:tc>
        <w:tc>
          <w:tcPr>
            <w:tcW w:w="1200" w:type="dxa"/>
          </w:tcPr>
          <w:p w:rsidR="00EC68BA" w:rsidRPr="00CA6279" w:rsidRDefault="00EC68BA" w:rsidP="001E1545">
            <w:pPr>
              <w:jc w:val="right"/>
              <w:rPr>
                <w:rFonts w:cs="Arial"/>
              </w:rPr>
            </w:pPr>
            <w:r>
              <w:rPr>
                <w:rFonts w:cs="Arial"/>
              </w:rPr>
              <w:t>Antal</w:t>
            </w:r>
          </w:p>
        </w:tc>
        <w:tc>
          <w:tcPr>
            <w:tcW w:w="1800" w:type="dxa"/>
          </w:tcPr>
          <w:p w:rsidR="00EC68BA" w:rsidRPr="00CA6279" w:rsidRDefault="00EC68BA" w:rsidP="001E1545">
            <w:pPr>
              <w:jc w:val="right"/>
              <w:rPr>
                <w:rFonts w:cs="Arial"/>
              </w:rPr>
            </w:pPr>
            <w:r>
              <w:rPr>
                <w:rFonts w:cs="Arial"/>
              </w:rPr>
              <w:t>Beløb</w:t>
            </w:r>
          </w:p>
        </w:tc>
        <w:tc>
          <w:tcPr>
            <w:tcW w:w="1523" w:type="dxa"/>
          </w:tcPr>
          <w:p w:rsidR="00EC68BA" w:rsidRPr="00CA6279" w:rsidRDefault="00EC68BA" w:rsidP="001E1545">
            <w:pPr>
              <w:jc w:val="right"/>
              <w:rPr>
                <w:rFonts w:cs="Arial"/>
              </w:rPr>
            </w:pPr>
            <w:r>
              <w:rPr>
                <w:rFonts w:cs="Arial"/>
              </w:rPr>
              <w:t>Gennemsnit</w:t>
            </w:r>
          </w:p>
        </w:tc>
      </w:tr>
      <w:tr w:rsidR="00EC68BA" w:rsidRPr="00CA6279" w:rsidTr="001E1545">
        <w:tc>
          <w:tcPr>
            <w:tcW w:w="3910" w:type="dxa"/>
          </w:tcPr>
          <w:p w:rsidR="00EC68BA" w:rsidRDefault="00EC68BA" w:rsidP="001E1545">
            <w:pPr>
              <w:jc w:val="both"/>
              <w:rPr>
                <w:rFonts w:cs="Arial"/>
              </w:rPr>
            </w:pPr>
            <w:r>
              <w:rPr>
                <w:rFonts w:cs="Arial"/>
              </w:rPr>
              <w:t>Fuldt skattepligtige</w:t>
            </w:r>
          </w:p>
        </w:tc>
        <w:tc>
          <w:tcPr>
            <w:tcW w:w="1200" w:type="dxa"/>
          </w:tcPr>
          <w:p w:rsidR="00EC68BA" w:rsidRDefault="00A77100" w:rsidP="001E1545">
            <w:pPr>
              <w:jc w:val="right"/>
              <w:rPr>
                <w:rFonts w:cs="Arial"/>
              </w:rPr>
            </w:pPr>
            <w:r>
              <w:rPr>
                <w:rFonts w:cs="Arial"/>
              </w:rPr>
              <w:t>47.277</w:t>
            </w:r>
          </w:p>
        </w:tc>
        <w:tc>
          <w:tcPr>
            <w:tcW w:w="1800" w:type="dxa"/>
          </w:tcPr>
          <w:p w:rsidR="00EC68BA" w:rsidRDefault="00A77100" w:rsidP="00C6185E">
            <w:pPr>
              <w:jc w:val="right"/>
              <w:rPr>
                <w:rFonts w:cs="Arial"/>
              </w:rPr>
            </w:pPr>
            <w:r>
              <w:rPr>
                <w:rFonts w:cs="Arial"/>
              </w:rPr>
              <w:t>7.793.714.553</w:t>
            </w:r>
          </w:p>
        </w:tc>
        <w:tc>
          <w:tcPr>
            <w:tcW w:w="1523" w:type="dxa"/>
          </w:tcPr>
          <w:p w:rsidR="00EC68BA" w:rsidRDefault="00A77100" w:rsidP="00C6185E">
            <w:pPr>
              <w:jc w:val="right"/>
              <w:rPr>
                <w:rFonts w:cs="Arial"/>
              </w:rPr>
            </w:pPr>
            <w:r>
              <w:rPr>
                <w:rFonts w:cs="Arial"/>
              </w:rPr>
              <w:t>163.268</w:t>
            </w:r>
          </w:p>
        </w:tc>
      </w:tr>
      <w:tr w:rsidR="00EC68BA" w:rsidRPr="00CA6279" w:rsidTr="001E1545">
        <w:tc>
          <w:tcPr>
            <w:tcW w:w="3910" w:type="dxa"/>
          </w:tcPr>
          <w:p w:rsidR="00EC68BA" w:rsidRPr="00CA6279" w:rsidRDefault="00EC68BA" w:rsidP="001E1545">
            <w:pPr>
              <w:jc w:val="both"/>
              <w:rPr>
                <w:rFonts w:cs="Arial"/>
              </w:rPr>
            </w:pPr>
            <w:r>
              <w:rPr>
                <w:rFonts w:cs="Arial"/>
              </w:rPr>
              <w:t>Døde i uskiftet bo</w:t>
            </w:r>
          </w:p>
        </w:tc>
        <w:tc>
          <w:tcPr>
            <w:tcW w:w="1200" w:type="dxa"/>
          </w:tcPr>
          <w:p w:rsidR="00EC68BA" w:rsidRPr="00CA6279" w:rsidRDefault="00EC68BA" w:rsidP="00A77100">
            <w:pPr>
              <w:jc w:val="right"/>
              <w:rPr>
                <w:rFonts w:cs="Arial"/>
              </w:rPr>
            </w:pPr>
            <w:r>
              <w:rPr>
                <w:rFonts w:cs="Arial"/>
              </w:rPr>
              <w:t>1</w:t>
            </w:r>
            <w:r w:rsidR="0052623D">
              <w:rPr>
                <w:rFonts w:cs="Arial"/>
              </w:rPr>
              <w:t>4</w:t>
            </w:r>
            <w:r w:rsidR="00A77100">
              <w:rPr>
                <w:rFonts w:cs="Arial"/>
              </w:rPr>
              <w:t>2</w:t>
            </w:r>
          </w:p>
        </w:tc>
        <w:tc>
          <w:tcPr>
            <w:tcW w:w="1800" w:type="dxa"/>
          </w:tcPr>
          <w:p w:rsidR="00EC68BA" w:rsidRPr="00CA6279" w:rsidRDefault="007F794C" w:rsidP="00A77100">
            <w:pPr>
              <w:jc w:val="right"/>
              <w:rPr>
                <w:rFonts w:cs="Arial"/>
              </w:rPr>
            </w:pPr>
            <w:r>
              <w:rPr>
                <w:rFonts w:cs="Arial"/>
              </w:rPr>
              <w:t>9.</w:t>
            </w:r>
            <w:r w:rsidR="00A77100">
              <w:rPr>
                <w:rFonts w:cs="Arial"/>
              </w:rPr>
              <w:t>852.830</w:t>
            </w:r>
          </w:p>
        </w:tc>
        <w:tc>
          <w:tcPr>
            <w:tcW w:w="1523" w:type="dxa"/>
          </w:tcPr>
          <w:p w:rsidR="00EC68BA" w:rsidRPr="00CA6279" w:rsidRDefault="0052623D" w:rsidP="00A77100">
            <w:pPr>
              <w:jc w:val="right"/>
              <w:rPr>
                <w:rFonts w:cs="Arial"/>
              </w:rPr>
            </w:pPr>
            <w:r>
              <w:rPr>
                <w:rFonts w:cs="Arial"/>
              </w:rPr>
              <w:t>69.</w:t>
            </w:r>
            <w:r w:rsidR="00A77100">
              <w:rPr>
                <w:rFonts w:cs="Arial"/>
              </w:rPr>
              <w:t>386</w:t>
            </w:r>
          </w:p>
        </w:tc>
      </w:tr>
      <w:tr w:rsidR="00EC68BA" w:rsidRPr="00CA6279" w:rsidTr="001E1545">
        <w:tc>
          <w:tcPr>
            <w:tcW w:w="3910" w:type="dxa"/>
          </w:tcPr>
          <w:p w:rsidR="00EC68BA" w:rsidRPr="00CA6279" w:rsidRDefault="00EC68BA" w:rsidP="001E1545">
            <w:pPr>
              <w:jc w:val="both"/>
              <w:rPr>
                <w:rFonts w:cs="Arial"/>
              </w:rPr>
            </w:pPr>
            <w:r>
              <w:rPr>
                <w:rFonts w:cs="Arial"/>
              </w:rPr>
              <w:t>Fuldt skattepligtige periodeansatte</w:t>
            </w:r>
          </w:p>
        </w:tc>
        <w:tc>
          <w:tcPr>
            <w:tcW w:w="1200" w:type="dxa"/>
          </w:tcPr>
          <w:p w:rsidR="00EC68BA" w:rsidRPr="00CA6279" w:rsidRDefault="007F794C" w:rsidP="001E1545">
            <w:pPr>
              <w:jc w:val="right"/>
              <w:rPr>
                <w:rFonts w:cs="Arial"/>
              </w:rPr>
            </w:pPr>
            <w:r>
              <w:rPr>
                <w:rFonts w:cs="Arial"/>
              </w:rPr>
              <w:t>44</w:t>
            </w:r>
            <w:r w:rsidR="00A77100">
              <w:rPr>
                <w:rFonts w:cs="Arial"/>
              </w:rPr>
              <w:t>9</w:t>
            </w:r>
          </w:p>
        </w:tc>
        <w:tc>
          <w:tcPr>
            <w:tcW w:w="1800" w:type="dxa"/>
          </w:tcPr>
          <w:p w:rsidR="00EC68BA" w:rsidRPr="00CA6279" w:rsidRDefault="00A05F72" w:rsidP="00A77100">
            <w:pPr>
              <w:jc w:val="right"/>
              <w:rPr>
                <w:rFonts w:cs="Arial"/>
              </w:rPr>
            </w:pPr>
            <w:r>
              <w:rPr>
                <w:rFonts w:cs="Arial"/>
              </w:rPr>
              <w:t>1</w:t>
            </w:r>
            <w:r w:rsidR="007F794C">
              <w:rPr>
                <w:rFonts w:cs="Arial"/>
              </w:rPr>
              <w:t>4.</w:t>
            </w:r>
            <w:r w:rsidR="00A77100">
              <w:rPr>
                <w:rFonts w:cs="Arial"/>
              </w:rPr>
              <w:t>670.852</w:t>
            </w:r>
          </w:p>
        </w:tc>
        <w:tc>
          <w:tcPr>
            <w:tcW w:w="1523" w:type="dxa"/>
          </w:tcPr>
          <w:p w:rsidR="00EC68BA" w:rsidRPr="00CA6279" w:rsidRDefault="00A77100" w:rsidP="00C6185E">
            <w:pPr>
              <w:jc w:val="right"/>
              <w:rPr>
                <w:rFonts w:cs="Arial"/>
              </w:rPr>
            </w:pPr>
            <w:r>
              <w:rPr>
                <w:rFonts w:cs="Arial"/>
              </w:rPr>
              <w:t>32.674</w:t>
            </w:r>
          </w:p>
        </w:tc>
      </w:tr>
      <w:tr w:rsidR="00A05F72" w:rsidRPr="00CA6279" w:rsidTr="001E1545">
        <w:tc>
          <w:tcPr>
            <w:tcW w:w="3910" w:type="dxa"/>
          </w:tcPr>
          <w:p w:rsidR="00A05F72" w:rsidRDefault="00A05F72" w:rsidP="001E1545">
            <w:pPr>
              <w:jc w:val="both"/>
              <w:rPr>
                <w:rFonts w:cs="Arial"/>
              </w:rPr>
            </w:pPr>
            <w:r>
              <w:rPr>
                <w:rFonts w:cs="Arial"/>
              </w:rPr>
              <w:t>Dobbeltdomicilerede</w:t>
            </w:r>
          </w:p>
        </w:tc>
        <w:tc>
          <w:tcPr>
            <w:tcW w:w="1200" w:type="dxa"/>
          </w:tcPr>
          <w:p w:rsidR="00A05F72" w:rsidRDefault="00A77100" w:rsidP="001E1545">
            <w:pPr>
              <w:jc w:val="right"/>
              <w:rPr>
                <w:rFonts w:cs="Arial"/>
              </w:rPr>
            </w:pPr>
            <w:r>
              <w:rPr>
                <w:rFonts w:cs="Arial"/>
              </w:rPr>
              <w:t>31</w:t>
            </w:r>
          </w:p>
        </w:tc>
        <w:tc>
          <w:tcPr>
            <w:tcW w:w="1800" w:type="dxa"/>
          </w:tcPr>
          <w:p w:rsidR="00A05F72" w:rsidRDefault="00A77100" w:rsidP="001E1545">
            <w:pPr>
              <w:jc w:val="right"/>
              <w:rPr>
                <w:rFonts w:cs="Arial"/>
              </w:rPr>
            </w:pPr>
            <w:r>
              <w:rPr>
                <w:rFonts w:cs="Arial"/>
              </w:rPr>
              <w:t>2.177.212</w:t>
            </w:r>
          </w:p>
        </w:tc>
        <w:tc>
          <w:tcPr>
            <w:tcW w:w="1523" w:type="dxa"/>
          </w:tcPr>
          <w:p w:rsidR="00A05F72" w:rsidRDefault="00A77100" w:rsidP="001E1545">
            <w:pPr>
              <w:jc w:val="right"/>
              <w:rPr>
                <w:rFonts w:cs="Arial"/>
              </w:rPr>
            </w:pPr>
            <w:r>
              <w:rPr>
                <w:rFonts w:cs="Arial"/>
              </w:rPr>
              <w:t>70.232</w:t>
            </w:r>
          </w:p>
        </w:tc>
      </w:tr>
      <w:tr w:rsidR="00EC68BA" w:rsidRPr="00CA6279" w:rsidTr="001E1545">
        <w:tc>
          <w:tcPr>
            <w:tcW w:w="3910" w:type="dxa"/>
          </w:tcPr>
          <w:p w:rsidR="00EC68BA" w:rsidRPr="00CA6279" w:rsidRDefault="00EC68BA" w:rsidP="001E1545">
            <w:pPr>
              <w:jc w:val="both"/>
              <w:rPr>
                <w:rFonts w:cs="Arial"/>
              </w:rPr>
            </w:pPr>
            <w:r>
              <w:rPr>
                <w:rFonts w:cs="Arial"/>
              </w:rPr>
              <w:t>Slutlignede godkendte</w:t>
            </w:r>
          </w:p>
        </w:tc>
        <w:tc>
          <w:tcPr>
            <w:tcW w:w="1200" w:type="dxa"/>
          </w:tcPr>
          <w:p w:rsidR="00EC68BA" w:rsidRPr="00CA6279" w:rsidRDefault="00A05F72" w:rsidP="001E1545">
            <w:pPr>
              <w:jc w:val="right"/>
              <w:rPr>
                <w:rFonts w:cs="Arial"/>
              </w:rPr>
            </w:pPr>
            <w:r>
              <w:rPr>
                <w:rFonts w:cs="Arial"/>
              </w:rPr>
              <w:t>47.</w:t>
            </w:r>
            <w:r w:rsidR="00A77100">
              <w:rPr>
                <w:rFonts w:cs="Arial"/>
              </w:rPr>
              <w:t>899</w:t>
            </w:r>
          </w:p>
        </w:tc>
        <w:tc>
          <w:tcPr>
            <w:tcW w:w="1800" w:type="dxa"/>
          </w:tcPr>
          <w:p w:rsidR="00EC68BA" w:rsidRPr="00CA6279" w:rsidRDefault="007F794C" w:rsidP="00A77100">
            <w:pPr>
              <w:jc w:val="right"/>
              <w:rPr>
                <w:rFonts w:cs="Arial"/>
              </w:rPr>
            </w:pPr>
            <w:r>
              <w:rPr>
                <w:rFonts w:cs="Arial"/>
              </w:rPr>
              <w:t>7.</w:t>
            </w:r>
            <w:r w:rsidR="00C6185E">
              <w:rPr>
                <w:rFonts w:cs="Arial"/>
              </w:rPr>
              <w:t>8</w:t>
            </w:r>
            <w:r w:rsidR="00A77100">
              <w:rPr>
                <w:rFonts w:cs="Arial"/>
              </w:rPr>
              <w:t>20.415.447</w:t>
            </w:r>
          </w:p>
        </w:tc>
        <w:tc>
          <w:tcPr>
            <w:tcW w:w="1523" w:type="dxa"/>
          </w:tcPr>
          <w:p w:rsidR="00EC68BA" w:rsidRPr="00CA6279" w:rsidRDefault="00A05F72" w:rsidP="00A77100">
            <w:pPr>
              <w:jc w:val="right"/>
              <w:rPr>
                <w:rFonts w:cs="Arial"/>
              </w:rPr>
            </w:pPr>
            <w:r>
              <w:rPr>
                <w:rFonts w:cs="Arial"/>
              </w:rPr>
              <w:t>1</w:t>
            </w:r>
            <w:r w:rsidR="007F794C">
              <w:rPr>
                <w:rFonts w:cs="Arial"/>
              </w:rPr>
              <w:t>6</w:t>
            </w:r>
            <w:r w:rsidR="00786504">
              <w:rPr>
                <w:rFonts w:cs="Arial"/>
              </w:rPr>
              <w:t>3.</w:t>
            </w:r>
            <w:r w:rsidR="00A77100">
              <w:rPr>
                <w:rFonts w:cs="Arial"/>
              </w:rPr>
              <w:t>268</w:t>
            </w:r>
          </w:p>
        </w:tc>
      </w:tr>
    </w:tbl>
    <w:p w:rsidR="00EC68BA" w:rsidRDefault="00C6185E" w:rsidP="00EC68BA">
      <w:pPr>
        <w:spacing w:before="120"/>
        <w:jc w:val="both"/>
        <w:rPr>
          <w:rFonts w:cs="Arial"/>
        </w:rPr>
      </w:pPr>
      <w:r>
        <w:rPr>
          <w:rFonts w:cs="Arial"/>
        </w:rPr>
        <w:t>Herudover e</w:t>
      </w:r>
      <w:r w:rsidR="00A77100">
        <w:rPr>
          <w:rFonts w:cs="Arial"/>
        </w:rPr>
        <w:t>r der 300</w:t>
      </w:r>
      <w:r w:rsidR="00EC68BA">
        <w:rPr>
          <w:rFonts w:cs="Arial"/>
        </w:rPr>
        <w:t xml:space="preserve"> fuldt skatteplig</w:t>
      </w:r>
      <w:r w:rsidR="00A77100">
        <w:rPr>
          <w:rFonts w:cs="Arial"/>
        </w:rPr>
        <w:t>tige som ikke er slutlignede, 22</w:t>
      </w:r>
      <w:r w:rsidR="00EC68BA">
        <w:rPr>
          <w:rFonts w:cs="Arial"/>
        </w:rPr>
        <w:t xml:space="preserve"> period</w:t>
      </w:r>
      <w:r w:rsidR="00EC68BA">
        <w:rPr>
          <w:rFonts w:cs="Arial"/>
        </w:rPr>
        <w:t>e</w:t>
      </w:r>
      <w:r w:rsidR="00EC68BA">
        <w:rPr>
          <w:rFonts w:cs="Arial"/>
        </w:rPr>
        <w:t>ansatte som ikke er</w:t>
      </w:r>
      <w:r w:rsidR="008D675F">
        <w:rPr>
          <w:rFonts w:cs="Arial"/>
        </w:rPr>
        <w:t xml:space="preserve"> slutlignede og endelig er der </w:t>
      </w:r>
      <w:r w:rsidR="00A77100">
        <w:rPr>
          <w:rFonts w:cs="Arial"/>
        </w:rPr>
        <w:t>9</w:t>
      </w:r>
      <w:r w:rsidR="00EC68BA">
        <w:rPr>
          <w:rFonts w:cs="Arial"/>
        </w:rPr>
        <w:t xml:space="preserve"> døde i udskiftet bo som i</w:t>
      </w:r>
      <w:r w:rsidR="00EC68BA">
        <w:rPr>
          <w:rFonts w:cs="Arial"/>
        </w:rPr>
        <w:t>k</w:t>
      </w:r>
      <w:r w:rsidR="00EC68BA">
        <w:rPr>
          <w:rFonts w:cs="Arial"/>
        </w:rPr>
        <w:t>ke er lignede på nuværende tids</w:t>
      </w:r>
      <w:r w:rsidR="00A77100">
        <w:rPr>
          <w:rFonts w:cs="Arial"/>
        </w:rPr>
        <w:t>punkt. (I alt 331</w:t>
      </w:r>
      <w:r w:rsidR="00EC68BA">
        <w:rPr>
          <w:rFonts w:cs="Arial"/>
        </w:rPr>
        <w:t xml:space="preserve"> ikke lignede)</w:t>
      </w:r>
    </w:p>
    <w:p w:rsidR="00EC68BA" w:rsidRPr="00AC2F67" w:rsidRDefault="00883BF3" w:rsidP="00EC68BA">
      <w:pPr>
        <w:spacing w:before="120"/>
        <w:jc w:val="both"/>
        <w:rPr>
          <w:rFonts w:cs="Arial"/>
        </w:rPr>
      </w:pPr>
      <w:r>
        <w:rPr>
          <w:rFonts w:cs="Arial"/>
        </w:rPr>
        <w:t xml:space="preserve">Ifølge </w:t>
      </w:r>
      <w:proofErr w:type="spellStart"/>
      <w:r>
        <w:rPr>
          <w:rFonts w:cs="Arial"/>
        </w:rPr>
        <w:t>KL´s</w:t>
      </w:r>
      <w:proofErr w:type="spellEnd"/>
      <w:r>
        <w:rPr>
          <w:rFonts w:cs="Arial"/>
        </w:rPr>
        <w:t xml:space="preserve"> skattemodel skønnes det samlede skattegrundl</w:t>
      </w:r>
      <w:r w:rsidR="00A77100">
        <w:rPr>
          <w:rFonts w:cs="Arial"/>
        </w:rPr>
        <w:t>ag for 2012 inkl. de 331</w:t>
      </w:r>
      <w:r>
        <w:rPr>
          <w:rFonts w:cs="Arial"/>
        </w:rPr>
        <w:t xml:space="preserve"> ikke lignede at udgøre </w:t>
      </w:r>
      <w:r w:rsidR="00851AC3">
        <w:rPr>
          <w:rFonts w:cs="Arial"/>
        </w:rPr>
        <w:t>7.86</w:t>
      </w:r>
      <w:r w:rsidR="00C6185E">
        <w:rPr>
          <w:rFonts w:cs="Arial"/>
        </w:rPr>
        <w:t>9</w:t>
      </w:r>
      <w:r w:rsidR="009248C5">
        <w:rPr>
          <w:rFonts w:cs="Arial"/>
        </w:rPr>
        <w:t>.</w:t>
      </w:r>
      <w:r w:rsidR="00851AC3">
        <w:rPr>
          <w:rFonts w:cs="Arial"/>
        </w:rPr>
        <w:t>915</w:t>
      </w:r>
      <w:r w:rsidR="009248C5">
        <w:rPr>
          <w:rFonts w:cs="Arial"/>
        </w:rPr>
        <w:t xml:space="preserve">.000 kr., forskellen er </w:t>
      </w:r>
      <w:r w:rsidR="00851AC3">
        <w:rPr>
          <w:rFonts w:cs="Arial"/>
        </w:rPr>
        <w:t>49</w:t>
      </w:r>
      <w:r w:rsidR="009248C5">
        <w:rPr>
          <w:rFonts w:cs="Arial"/>
        </w:rPr>
        <w:t>.</w:t>
      </w:r>
      <w:r w:rsidR="00851AC3">
        <w:rPr>
          <w:rFonts w:cs="Arial"/>
        </w:rPr>
        <w:t>499</w:t>
      </w:r>
      <w:r w:rsidR="009248C5">
        <w:rPr>
          <w:rFonts w:cs="Arial"/>
        </w:rPr>
        <w:t>.</w:t>
      </w:r>
      <w:r w:rsidR="00851AC3">
        <w:rPr>
          <w:rFonts w:cs="Arial"/>
        </w:rPr>
        <w:t>553</w:t>
      </w:r>
      <w:r w:rsidR="00C24023">
        <w:rPr>
          <w:rFonts w:cs="Arial"/>
        </w:rPr>
        <w:t xml:space="preserve"> kr., svarende til 149.545</w:t>
      </w:r>
      <w:r w:rsidR="00683226">
        <w:rPr>
          <w:rFonts w:cs="Arial"/>
        </w:rPr>
        <w:t xml:space="preserve"> kr. pr. ikke lignet skattepligtige på nuværende tidspunkt. </w:t>
      </w:r>
      <w:r>
        <w:rPr>
          <w:rFonts w:cs="Arial"/>
        </w:rPr>
        <w:t xml:space="preserve"> </w:t>
      </w:r>
    </w:p>
    <w:p w:rsidR="009248C5" w:rsidRDefault="009248C5" w:rsidP="00EC68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200"/>
        <w:gridCol w:w="1320"/>
        <w:gridCol w:w="1320"/>
        <w:gridCol w:w="1230"/>
      </w:tblGrid>
      <w:tr w:rsidR="00EC68BA" w:rsidTr="006F7F1A">
        <w:tc>
          <w:tcPr>
            <w:tcW w:w="3348" w:type="dxa"/>
          </w:tcPr>
          <w:p w:rsidR="00EC68BA" w:rsidRDefault="00EC68BA" w:rsidP="006F7F1A">
            <w:pPr>
              <w:jc w:val="both"/>
            </w:pPr>
          </w:p>
        </w:tc>
        <w:tc>
          <w:tcPr>
            <w:tcW w:w="1200" w:type="dxa"/>
          </w:tcPr>
          <w:p w:rsidR="00EC68BA" w:rsidRPr="006F7F1A" w:rsidRDefault="00EC68BA" w:rsidP="006F7F1A">
            <w:pPr>
              <w:jc w:val="both"/>
              <w:rPr>
                <w:sz w:val="20"/>
                <w:szCs w:val="20"/>
              </w:rPr>
            </w:pPr>
            <w:r w:rsidRPr="006F7F1A">
              <w:rPr>
                <w:sz w:val="20"/>
                <w:szCs w:val="20"/>
              </w:rPr>
              <w:t>Udgang</w:t>
            </w:r>
            <w:r w:rsidRPr="006F7F1A">
              <w:rPr>
                <w:sz w:val="20"/>
                <w:szCs w:val="20"/>
              </w:rPr>
              <w:t>s</w:t>
            </w:r>
            <w:r w:rsidRPr="006F7F1A">
              <w:rPr>
                <w:sz w:val="20"/>
                <w:szCs w:val="20"/>
              </w:rPr>
              <w:t>året</w:t>
            </w:r>
          </w:p>
        </w:tc>
        <w:tc>
          <w:tcPr>
            <w:tcW w:w="1320" w:type="dxa"/>
          </w:tcPr>
          <w:p w:rsidR="00EC68BA" w:rsidRPr="006F7F1A" w:rsidRDefault="00EC68BA" w:rsidP="006F7F1A">
            <w:pPr>
              <w:jc w:val="both"/>
              <w:rPr>
                <w:sz w:val="20"/>
                <w:szCs w:val="20"/>
              </w:rPr>
            </w:pPr>
            <w:r w:rsidRPr="006F7F1A">
              <w:rPr>
                <w:sz w:val="20"/>
                <w:szCs w:val="20"/>
              </w:rPr>
              <w:t>Året under optælling</w:t>
            </w:r>
          </w:p>
        </w:tc>
        <w:tc>
          <w:tcPr>
            <w:tcW w:w="1320" w:type="dxa"/>
          </w:tcPr>
          <w:p w:rsidR="00EC68BA" w:rsidRPr="006F7F1A" w:rsidRDefault="00EC68BA" w:rsidP="006F7F1A">
            <w:pPr>
              <w:jc w:val="both"/>
              <w:rPr>
                <w:sz w:val="20"/>
                <w:szCs w:val="20"/>
              </w:rPr>
            </w:pPr>
            <w:proofErr w:type="spellStart"/>
            <w:r w:rsidRPr="006F7F1A">
              <w:rPr>
                <w:sz w:val="20"/>
                <w:szCs w:val="20"/>
              </w:rPr>
              <w:t>Mellemåret</w:t>
            </w:r>
            <w:proofErr w:type="spellEnd"/>
          </w:p>
        </w:tc>
        <w:tc>
          <w:tcPr>
            <w:tcW w:w="1230" w:type="dxa"/>
          </w:tcPr>
          <w:p w:rsidR="00EC68BA" w:rsidRPr="006F7F1A" w:rsidRDefault="00EC68BA" w:rsidP="006F7F1A">
            <w:pPr>
              <w:jc w:val="both"/>
              <w:rPr>
                <w:sz w:val="20"/>
                <w:szCs w:val="20"/>
              </w:rPr>
            </w:pPr>
            <w:r w:rsidRPr="006F7F1A">
              <w:rPr>
                <w:sz w:val="20"/>
                <w:szCs w:val="20"/>
              </w:rPr>
              <w:t>Budgetåret</w:t>
            </w:r>
          </w:p>
        </w:tc>
      </w:tr>
      <w:tr w:rsidR="00EC68BA" w:rsidTr="006F7F1A">
        <w:tc>
          <w:tcPr>
            <w:tcW w:w="3348" w:type="dxa"/>
          </w:tcPr>
          <w:p w:rsidR="00EC68BA" w:rsidRDefault="00EC68BA" w:rsidP="006F7F1A">
            <w:pPr>
              <w:jc w:val="both"/>
            </w:pPr>
          </w:p>
        </w:tc>
        <w:tc>
          <w:tcPr>
            <w:tcW w:w="1200" w:type="dxa"/>
          </w:tcPr>
          <w:p w:rsidR="00EC68BA" w:rsidRPr="006F7F1A" w:rsidRDefault="00EC68BA" w:rsidP="006F7F1A">
            <w:pPr>
              <w:jc w:val="center"/>
              <w:rPr>
                <w:b/>
                <w:sz w:val="20"/>
                <w:szCs w:val="20"/>
              </w:rPr>
            </w:pPr>
            <w:r w:rsidRPr="006F7F1A">
              <w:rPr>
                <w:b/>
                <w:sz w:val="20"/>
                <w:szCs w:val="20"/>
              </w:rPr>
              <w:t>20</w:t>
            </w:r>
            <w:r w:rsidR="00B62D55" w:rsidRPr="006F7F1A">
              <w:rPr>
                <w:b/>
                <w:sz w:val="20"/>
                <w:szCs w:val="20"/>
              </w:rPr>
              <w:t>1</w:t>
            </w:r>
            <w:r w:rsidR="00AD55BE" w:rsidRPr="006F7F1A">
              <w:rPr>
                <w:b/>
                <w:sz w:val="20"/>
                <w:szCs w:val="20"/>
              </w:rPr>
              <w:t>1</w:t>
            </w:r>
          </w:p>
        </w:tc>
        <w:tc>
          <w:tcPr>
            <w:tcW w:w="1320" w:type="dxa"/>
          </w:tcPr>
          <w:p w:rsidR="00EC68BA" w:rsidRPr="006F7F1A" w:rsidRDefault="00EC68BA" w:rsidP="006F7F1A">
            <w:pPr>
              <w:jc w:val="center"/>
              <w:rPr>
                <w:b/>
                <w:sz w:val="20"/>
                <w:szCs w:val="20"/>
              </w:rPr>
            </w:pPr>
            <w:r w:rsidRPr="006F7F1A">
              <w:rPr>
                <w:b/>
                <w:sz w:val="20"/>
                <w:szCs w:val="20"/>
              </w:rPr>
              <w:t>201</w:t>
            </w:r>
            <w:r w:rsidR="00AD55BE" w:rsidRPr="006F7F1A">
              <w:rPr>
                <w:b/>
                <w:sz w:val="20"/>
                <w:szCs w:val="20"/>
              </w:rPr>
              <w:t>2</w:t>
            </w:r>
          </w:p>
        </w:tc>
        <w:tc>
          <w:tcPr>
            <w:tcW w:w="1320" w:type="dxa"/>
          </w:tcPr>
          <w:p w:rsidR="00EC68BA" w:rsidRPr="006F7F1A" w:rsidRDefault="00EC68BA" w:rsidP="006F7F1A">
            <w:pPr>
              <w:jc w:val="center"/>
              <w:rPr>
                <w:b/>
                <w:sz w:val="20"/>
                <w:szCs w:val="20"/>
              </w:rPr>
            </w:pPr>
            <w:r w:rsidRPr="006F7F1A">
              <w:rPr>
                <w:b/>
                <w:sz w:val="20"/>
                <w:szCs w:val="20"/>
              </w:rPr>
              <w:t>201</w:t>
            </w:r>
            <w:r w:rsidR="00AD55BE" w:rsidRPr="006F7F1A">
              <w:rPr>
                <w:b/>
                <w:sz w:val="20"/>
                <w:szCs w:val="20"/>
              </w:rPr>
              <w:t>3</w:t>
            </w:r>
          </w:p>
        </w:tc>
        <w:tc>
          <w:tcPr>
            <w:tcW w:w="1230" w:type="dxa"/>
          </w:tcPr>
          <w:p w:rsidR="00EC68BA" w:rsidRPr="006F7F1A" w:rsidRDefault="00EC68BA" w:rsidP="006F7F1A">
            <w:pPr>
              <w:jc w:val="center"/>
              <w:rPr>
                <w:b/>
                <w:sz w:val="20"/>
                <w:szCs w:val="20"/>
              </w:rPr>
            </w:pPr>
            <w:r w:rsidRPr="006F7F1A">
              <w:rPr>
                <w:b/>
                <w:sz w:val="20"/>
                <w:szCs w:val="20"/>
              </w:rPr>
              <w:t>201</w:t>
            </w:r>
            <w:r w:rsidR="00AD55BE" w:rsidRPr="006F7F1A">
              <w:rPr>
                <w:b/>
                <w:sz w:val="20"/>
                <w:szCs w:val="20"/>
              </w:rPr>
              <w:t>4</w:t>
            </w:r>
          </w:p>
        </w:tc>
      </w:tr>
      <w:tr w:rsidR="00EC68BA" w:rsidTr="006F7F1A">
        <w:tc>
          <w:tcPr>
            <w:tcW w:w="3348" w:type="dxa"/>
          </w:tcPr>
          <w:p w:rsidR="00EC68BA" w:rsidRPr="006F7F1A" w:rsidRDefault="00EC68BA" w:rsidP="006F7F1A">
            <w:pPr>
              <w:jc w:val="both"/>
              <w:rPr>
                <w:sz w:val="20"/>
                <w:szCs w:val="20"/>
              </w:rPr>
            </w:pPr>
            <w:r w:rsidRPr="006F7F1A">
              <w:rPr>
                <w:sz w:val="20"/>
                <w:szCs w:val="20"/>
              </w:rPr>
              <w:t>Grundlaget</w:t>
            </w:r>
          </w:p>
        </w:tc>
        <w:tc>
          <w:tcPr>
            <w:tcW w:w="1200" w:type="dxa"/>
          </w:tcPr>
          <w:p w:rsidR="00EC68BA" w:rsidRPr="006F7F1A" w:rsidRDefault="001942E3" w:rsidP="006F7F1A">
            <w:pPr>
              <w:jc w:val="right"/>
              <w:rPr>
                <w:sz w:val="20"/>
                <w:szCs w:val="20"/>
              </w:rPr>
            </w:pPr>
            <w:r w:rsidRPr="006F7F1A">
              <w:rPr>
                <w:sz w:val="20"/>
                <w:szCs w:val="20"/>
              </w:rPr>
              <w:t>7.</w:t>
            </w:r>
            <w:r w:rsidR="00CF6C00" w:rsidRPr="006F7F1A">
              <w:rPr>
                <w:sz w:val="20"/>
                <w:szCs w:val="20"/>
              </w:rPr>
              <w:t>577.960</w:t>
            </w:r>
          </w:p>
        </w:tc>
        <w:tc>
          <w:tcPr>
            <w:tcW w:w="1320" w:type="dxa"/>
          </w:tcPr>
          <w:p w:rsidR="00EC68BA" w:rsidRPr="006F7F1A" w:rsidRDefault="00C24023" w:rsidP="004749F1">
            <w:pPr>
              <w:jc w:val="right"/>
              <w:rPr>
                <w:sz w:val="20"/>
                <w:szCs w:val="20"/>
              </w:rPr>
            </w:pPr>
            <w:r>
              <w:rPr>
                <w:sz w:val="20"/>
                <w:szCs w:val="20"/>
              </w:rPr>
              <w:t>7.86</w:t>
            </w:r>
            <w:r w:rsidR="004749F1">
              <w:rPr>
                <w:sz w:val="20"/>
                <w:szCs w:val="20"/>
              </w:rPr>
              <w:t>9</w:t>
            </w:r>
            <w:r w:rsidR="009248C5">
              <w:rPr>
                <w:sz w:val="20"/>
                <w:szCs w:val="20"/>
              </w:rPr>
              <w:t>.</w:t>
            </w:r>
            <w:r>
              <w:rPr>
                <w:sz w:val="20"/>
                <w:szCs w:val="20"/>
              </w:rPr>
              <w:t>915</w:t>
            </w:r>
          </w:p>
        </w:tc>
        <w:tc>
          <w:tcPr>
            <w:tcW w:w="1320" w:type="dxa"/>
          </w:tcPr>
          <w:p w:rsidR="00EC68BA" w:rsidRPr="006F7F1A" w:rsidRDefault="000C6931" w:rsidP="000C6931">
            <w:pPr>
              <w:jc w:val="right"/>
              <w:rPr>
                <w:sz w:val="20"/>
                <w:szCs w:val="20"/>
              </w:rPr>
            </w:pPr>
            <w:r>
              <w:rPr>
                <w:sz w:val="20"/>
                <w:szCs w:val="20"/>
              </w:rPr>
              <w:t>8.294</w:t>
            </w:r>
            <w:r w:rsidR="009248C5">
              <w:rPr>
                <w:sz w:val="20"/>
                <w:szCs w:val="20"/>
              </w:rPr>
              <w:t>.</w:t>
            </w:r>
            <w:r>
              <w:rPr>
                <w:sz w:val="20"/>
                <w:szCs w:val="20"/>
              </w:rPr>
              <w:t>890</w:t>
            </w:r>
          </w:p>
        </w:tc>
        <w:tc>
          <w:tcPr>
            <w:tcW w:w="1230" w:type="dxa"/>
          </w:tcPr>
          <w:p w:rsidR="00EC68BA" w:rsidRPr="006F7F1A" w:rsidRDefault="00883BF3" w:rsidP="004749F1">
            <w:pPr>
              <w:jc w:val="right"/>
              <w:rPr>
                <w:sz w:val="20"/>
                <w:szCs w:val="20"/>
              </w:rPr>
            </w:pPr>
            <w:r>
              <w:rPr>
                <w:sz w:val="20"/>
                <w:szCs w:val="20"/>
              </w:rPr>
              <w:t>8.</w:t>
            </w:r>
            <w:r w:rsidR="000C6931">
              <w:rPr>
                <w:sz w:val="20"/>
                <w:szCs w:val="20"/>
              </w:rPr>
              <w:t>543.737</w:t>
            </w:r>
          </w:p>
        </w:tc>
      </w:tr>
      <w:tr w:rsidR="00EC68BA" w:rsidTr="006F7F1A">
        <w:tc>
          <w:tcPr>
            <w:tcW w:w="3348" w:type="dxa"/>
          </w:tcPr>
          <w:p w:rsidR="00EC68BA" w:rsidRPr="006F7F1A" w:rsidRDefault="00EC68BA" w:rsidP="006F7F1A">
            <w:pPr>
              <w:jc w:val="both"/>
              <w:rPr>
                <w:sz w:val="20"/>
                <w:szCs w:val="20"/>
              </w:rPr>
            </w:pPr>
            <w:r w:rsidRPr="006F7F1A">
              <w:rPr>
                <w:sz w:val="20"/>
                <w:szCs w:val="20"/>
              </w:rPr>
              <w:t>Antal skattepligtige</w:t>
            </w:r>
          </w:p>
        </w:tc>
        <w:tc>
          <w:tcPr>
            <w:tcW w:w="1200" w:type="dxa"/>
          </w:tcPr>
          <w:p w:rsidR="00EC68BA" w:rsidRPr="006F7F1A" w:rsidRDefault="00EC68BA" w:rsidP="006F7F1A">
            <w:pPr>
              <w:jc w:val="right"/>
              <w:rPr>
                <w:sz w:val="20"/>
                <w:szCs w:val="20"/>
              </w:rPr>
            </w:pPr>
            <w:r w:rsidRPr="006F7F1A">
              <w:rPr>
                <w:sz w:val="20"/>
                <w:szCs w:val="20"/>
              </w:rPr>
              <w:t>4</w:t>
            </w:r>
            <w:r w:rsidR="00CF6C00" w:rsidRPr="006F7F1A">
              <w:rPr>
                <w:sz w:val="20"/>
                <w:szCs w:val="20"/>
              </w:rPr>
              <w:t>7.884</w:t>
            </w:r>
          </w:p>
        </w:tc>
        <w:tc>
          <w:tcPr>
            <w:tcW w:w="1320" w:type="dxa"/>
          </w:tcPr>
          <w:p w:rsidR="00EC68BA" w:rsidRPr="006F7F1A" w:rsidRDefault="00CF6C00" w:rsidP="006F7F1A">
            <w:pPr>
              <w:jc w:val="right"/>
              <w:rPr>
                <w:sz w:val="20"/>
                <w:szCs w:val="20"/>
              </w:rPr>
            </w:pPr>
            <w:r w:rsidRPr="006F7F1A">
              <w:rPr>
                <w:sz w:val="20"/>
                <w:szCs w:val="20"/>
              </w:rPr>
              <w:t>48.23</w:t>
            </w:r>
            <w:r w:rsidR="00C24023">
              <w:rPr>
                <w:sz w:val="20"/>
                <w:szCs w:val="20"/>
              </w:rPr>
              <w:t>0</w:t>
            </w:r>
          </w:p>
        </w:tc>
        <w:tc>
          <w:tcPr>
            <w:tcW w:w="1320" w:type="dxa"/>
          </w:tcPr>
          <w:p w:rsidR="00EC68BA" w:rsidRPr="006F7F1A" w:rsidRDefault="00EC68BA" w:rsidP="006F7F1A">
            <w:pPr>
              <w:jc w:val="right"/>
              <w:rPr>
                <w:sz w:val="20"/>
                <w:szCs w:val="20"/>
              </w:rPr>
            </w:pPr>
          </w:p>
        </w:tc>
        <w:tc>
          <w:tcPr>
            <w:tcW w:w="1230" w:type="dxa"/>
          </w:tcPr>
          <w:p w:rsidR="00EC68BA" w:rsidRPr="006F7F1A" w:rsidRDefault="00EC68BA" w:rsidP="006F7F1A">
            <w:pPr>
              <w:jc w:val="right"/>
              <w:rPr>
                <w:sz w:val="20"/>
                <w:szCs w:val="20"/>
              </w:rPr>
            </w:pPr>
          </w:p>
        </w:tc>
      </w:tr>
      <w:tr w:rsidR="00EC68BA" w:rsidTr="006F7F1A">
        <w:tc>
          <w:tcPr>
            <w:tcW w:w="3348" w:type="dxa"/>
          </w:tcPr>
          <w:p w:rsidR="00EC68BA" w:rsidRPr="006F7F1A" w:rsidRDefault="00EC68BA" w:rsidP="006F7F1A">
            <w:pPr>
              <w:jc w:val="both"/>
              <w:rPr>
                <w:sz w:val="20"/>
                <w:szCs w:val="20"/>
              </w:rPr>
            </w:pPr>
            <w:r w:rsidRPr="006F7F1A">
              <w:rPr>
                <w:sz w:val="20"/>
                <w:szCs w:val="20"/>
              </w:rPr>
              <w:t xml:space="preserve">Udskrivningsgrundlag pr. </w:t>
            </w:r>
            <w:proofErr w:type="spellStart"/>
            <w:r w:rsidRPr="006F7F1A">
              <w:rPr>
                <w:sz w:val="20"/>
                <w:szCs w:val="20"/>
              </w:rPr>
              <w:t>skattepl</w:t>
            </w:r>
            <w:proofErr w:type="spellEnd"/>
            <w:r w:rsidRPr="006F7F1A">
              <w:rPr>
                <w:sz w:val="20"/>
                <w:szCs w:val="20"/>
              </w:rPr>
              <w:t>.</w:t>
            </w:r>
          </w:p>
        </w:tc>
        <w:tc>
          <w:tcPr>
            <w:tcW w:w="1200" w:type="dxa"/>
          </w:tcPr>
          <w:p w:rsidR="00EC68BA" w:rsidRPr="006F7F1A" w:rsidRDefault="00CF6C00" w:rsidP="006F7F1A">
            <w:pPr>
              <w:jc w:val="right"/>
              <w:rPr>
                <w:sz w:val="20"/>
                <w:szCs w:val="20"/>
              </w:rPr>
            </w:pPr>
            <w:r w:rsidRPr="006F7F1A">
              <w:rPr>
                <w:sz w:val="20"/>
                <w:szCs w:val="20"/>
              </w:rPr>
              <w:t>158.257</w:t>
            </w:r>
          </w:p>
        </w:tc>
        <w:tc>
          <w:tcPr>
            <w:tcW w:w="1320" w:type="dxa"/>
          </w:tcPr>
          <w:p w:rsidR="00EC68BA" w:rsidRPr="006F7F1A" w:rsidRDefault="00C24023" w:rsidP="004749F1">
            <w:pPr>
              <w:jc w:val="right"/>
              <w:rPr>
                <w:sz w:val="20"/>
                <w:szCs w:val="20"/>
              </w:rPr>
            </w:pPr>
            <w:r>
              <w:rPr>
                <w:sz w:val="20"/>
                <w:szCs w:val="20"/>
              </w:rPr>
              <w:t>163</w:t>
            </w:r>
            <w:r w:rsidR="00CF6C00" w:rsidRPr="006F7F1A">
              <w:rPr>
                <w:sz w:val="20"/>
                <w:szCs w:val="20"/>
              </w:rPr>
              <w:t>.</w:t>
            </w:r>
            <w:r>
              <w:rPr>
                <w:sz w:val="20"/>
                <w:szCs w:val="20"/>
              </w:rPr>
              <w:t>175</w:t>
            </w:r>
          </w:p>
        </w:tc>
        <w:tc>
          <w:tcPr>
            <w:tcW w:w="1320" w:type="dxa"/>
          </w:tcPr>
          <w:p w:rsidR="00EC68BA" w:rsidRPr="006F7F1A" w:rsidRDefault="00EC68BA" w:rsidP="006F7F1A">
            <w:pPr>
              <w:jc w:val="right"/>
              <w:rPr>
                <w:color w:val="FF0000"/>
                <w:sz w:val="20"/>
                <w:szCs w:val="20"/>
              </w:rPr>
            </w:pPr>
          </w:p>
        </w:tc>
        <w:tc>
          <w:tcPr>
            <w:tcW w:w="1230" w:type="dxa"/>
          </w:tcPr>
          <w:p w:rsidR="00EC68BA" w:rsidRPr="006F7F1A" w:rsidRDefault="00EC68BA" w:rsidP="006F7F1A">
            <w:pPr>
              <w:jc w:val="right"/>
              <w:rPr>
                <w:color w:val="FF0000"/>
                <w:sz w:val="20"/>
                <w:szCs w:val="20"/>
              </w:rPr>
            </w:pPr>
          </w:p>
        </w:tc>
      </w:tr>
      <w:tr w:rsidR="00EC68BA" w:rsidTr="006F7F1A">
        <w:tc>
          <w:tcPr>
            <w:tcW w:w="3348" w:type="dxa"/>
          </w:tcPr>
          <w:p w:rsidR="00EC68BA" w:rsidRPr="006F7F1A" w:rsidRDefault="00EC68BA" w:rsidP="006F7F1A">
            <w:pPr>
              <w:jc w:val="both"/>
              <w:rPr>
                <w:sz w:val="20"/>
                <w:szCs w:val="20"/>
              </w:rPr>
            </w:pPr>
            <w:r w:rsidRPr="006F7F1A">
              <w:rPr>
                <w:sz w:val="20"/>
                <w:szCs w:val="20"/>
              </w:rPr>
              <w:t>Vækst i udskrivningsgrundlaget</w:t>
            </w:r>
          </w:p>
        </w:tc>
        <w:tc>
          <w:tcPr>
            <w:tcW w:w="1200" w:type="dxa"/>
          </w:tcPr>
          <w:p w:rsidR="00EC68BA" w:rsidRPr="006F7F1A" w:rsidRDefault="00EC68BA" w:rsidP="006F7F1A">
            <w:pPr>
              <w:jc w:val="right"/>
              <w:rPr>
                <w:sz w:val="20"/>
                <w:szCs w:val="20"/>
              </w:rPr>
            </w:pPr>
          </w:p>
        </w:tc>
        <w:tc>
          <w:tcPr>
            <w:tcW w:w="1320" w:type="dxa"/>
          </w:tcPr>
          <w:p w:rsidR="00EC68BA" w:rsidRPr="006F7F1A" w:rsidRDefault="00C24023" w:rsidP="007E738B">
            <w:pPr>
              <w:jc w:val="center"/>
              <w:rPr>
                <w:sz w:val="20"/>
                <w:szCs w:val="20"/>
              </w:rPr>
            </w:pPr>
            <w:r>
              <w:rPr>
                <w:sz w:val="20"/>
                <w:szCs w:val="20"/>
              </w:rPr>
              <w:t xml:space="preserve">    3,85</w:t>
            </w:r>
            <w:r w:rsidR="00EC68BA" w:rsidRPr="006F7F1A">
              <w:rPr>
                <w:sz w:val="20"/>
                <w:szCs w:val="20"/>
              </w:rPr>
              <w:t xml:space="preserve"> </w:t>
            </w:r>
            <w:r>
              <w:rPr>
                <w:i/>
                <w:color w:val="FF0000"/>
                <w:sz w:val="20"/>
                <w:szCs w:val="20"/>
              </w:rPr>
              <w:t>(3,3</w:t>
            </w:r>
            <w:r w:rsidR="00EC68BA" w:rsidRPr="006F7F1A">
              <w:rPr>
                <w:i/>
                <w:color w:val="FF0000"/>
                <w:sz w:val="20"/>
                <w:szCs w:val="20"/>
              </w:rPr>
              <w:t>)</w:t>
            </w:r>
          </w:p>
        </w:tc>
        <w:tc>
          <w:tcPr>
            <w:tcW w:w="1320" w:type="dxa"/>
          </w:tcPr>
          <w:p w:rsidR="00EC68BA" w:rsidRPr="006F7F1A" w:rsidRDefault="00C24023" w:rsidP="006F7F1A">
            <w:pPr>
              <w:jc w:val="right"/>
              <w:rPr>
                <w:i/>
                <w:color w:val="FF0000"/>
                <w:sz w:val="20"/>
                <w:szCs w:val="20"/>
              </w:rPr>
            </w:pPr>
            <w:r>
              <w:rPr>
                <w:i/>
                <w:color w:val="FF0000"/>
                <w:sz w:val="20"/>
                <w:szCs w:val="20"/>
              </w:rPr>
              <w:t>5,4</w:t>
            </w:r>
          </w:p>
        </w:tc>
        <w:tc>
          <w:tcPr>
            <w:tcW w:w="1230" w:type="dxa"/>
          </w:tcPr>
          <w:p w:rsidR="00EC68BA" w:rsidRPr="006F7F1A" w:rsidRDefault="00BC573F" w:rsidP="006F7F1A">
            <w:pPr>
              <w:jc w:val="right"/>
              <w:rPr>
                <w:i/>
                <w:color w:val="FF0000"/>
                <w:sz w:val="20"/>
                <w:szCs w:val="20"/>
              </w:rPr>
            </w:pPr>
            <w:r w:rsidRPr="006F7F1A">
              <w:rPr>
                <w:i/>
                <w:color w:val="FF0000"/>
                <w:sz w:val="20"/>
                <w:szCs w:val="20"/>
              </w:rPr>
              <w:t>3,</w:t>
            </w:r>
            <w:r w:rsidR="00C24023">
              <w:rPr>
                <w:i/>
                <w:color w:val="FF0000"/>
                <w:sz w:val="20"/>
                <w:szCs w:val="20"/>
              </w:rPr>
              <w:t>0</w:t>
            </w:r>
          </w:p>
        </w:tc>
      </w:tr>
      <w:tr w:rsidR="00EC68BA" w:rsidTr="006F7F1A">
        <w:tc>
          <w:tcPr>
            <w:tcW w:w="3348" w:type="dxa"/>
          </w:tcPr>
          <w:p w:rsidR="00EC68BA" w:rsidRPr="006F7F1A" w:rsidRDefault="00EC68BA" w:rsidP="006F7F1A">
            <w:pPr>
              <w:jc w:val="both"/>
              <w:rPr>
                <w:sz w:val="20"/>
                <w:szCs w:val="20"/>
              </w:rPr>
            </w:pPr>
            <w:r w:rsidRPr="006F7F1A">
              <w:rPr>
                <w:sz w:val="20"/>
                <w:szCs w:val="20"/>
              </w:rPr>
              <w:t>Vækst i udskrivningsgrundlaget pr. skattepligtig</w:t>
            </w:r>
          </w:p>
        </w:tc>
        <w:tc>
          <w:tcPr>
            <w:tcW w:w="1200" w:type="dxa"/>
          </w:tcPr>
          <w:p w:rsidR="00EC68BA" w:rsidRPr="006F7F1A" w:rsidRDefault="00EC68BA" w:rsidP="006F7F1A">
            <w:pPr>
              <w:jc w:val="right"/>
              <w:rPr>
                <w:sz w:val="20"/>
                <w:szCs w:val="20"/>
              </w:rPr>
            </w:pPr>
          </w:p>
        </w:tc>
        <w:tc>
          <w:tcPr>
            <w:tcW w:w="1320" w:type="dxa"/>
          </w:tcPr>
          <w:p w:rsidR="00EC68BA" w:rsidRPr="006F7F1A" w:rsidRDefault="00C24023" w:rsidP="00C24023">
            <w:pPr>
              <w:jc w:val="center"/>
              <w:rPr>
                <w:sz w:val="20"/>
                <w:szCs w:val="20"/>
              </w:rPr>
            </w:pPr>
            <w:r>
              <w:rPr>
                <w:sz w:val="20"/>
                <w:szCs w:val="20"/>
              </w:rPr>
              <w:t xml:space="preserve">    3,11</w:t>
            </w:r>
            <w:r w:rsidR="00EC68BA" w:rsidRPr="006F7F1A">
              <w:rPr>
                <w:sz w:val="20"/>
                <w:szCs w:val="20"/>
              </w:rPr>
              <w:t xml:space="preserve"> </w:t>
            </w:r>
            <w:r>
              <w:rPr>
                <w:i/>
                <w:color w:val="FF0000"/>
                <w:sz w:val="20"/>
                <w:szCs w:val="20"/>
              </w:rPr>
              <w:t>(2,6)</w:t>
            </w:r>
          </w:p>
        </w:tc>
        <w:tc>
          <w:tcPr>
            <w:tcW w:w="1320" w:type="dxa"/>
          </w:tcPr>
          <w:p w:rsidR="00EC68BA" w:rsidRPr="006F7F1A" w:rsidRDefault="00C24023" w:rsidP="007E738B">
            <w:pPr>
              <w:jc w:val="right"/>
              <w:rPr>
                <w:i/>
                <w:color w:val="FF0000"/>
                <w:sz w:val="20"/>
                <w:szCs w:val="20"/>
              </w:rPr>
            </w:pPr>
            <w:r>
              <w:rPr>
                <w:i/>
                <w:color w:val="FF0000"/>
                <w:sz w:val="20"/>
                <w:szCs w:val="20"/>
              </w:rPr>
              <w:t>4,6</w:t>
            </w:r>
          </w:p>
        </w:tc>
        <w:tc>
          <w:tcPr>
            <w:tcW w:w="1230" w:type="dxa"/>
          </w:tcPr>
          <w:p w:rsidR="00EC68BA" w:rsidRPr="006F7F1A" w:rsidRDefault="00C24023" w:rsidP="006F7F1A">
            <w:pPr>
              <w:jc w:val="right"/>
              <w:rPr>
                <w:i/>
                <w:color w:val="FF0000"/>
                <w:sz w:val="20"/>
                <w:szCs w:val="20"/>
              </w:rPr>
            </w:pPr>
            <w:r>
              <w:rPr>
                <w:i/>
                <w:color w:val="FF0000"/>
                <w:sz w:val="20"/>
                <w:szCs w:val="20"/>
              </w:rPr>
              <w:t>2,3</w:t>
            </w:r>
          </w:p>
        </w:tc>
      </w:tr>
    </w:tbl>
    <w:p w:rsidR="00EC68BA" w:rsidRPr="00F027D6" w:rsidRDefault="00EC68BA" w:rsidP="00EC68BA">
      <w:pPr>
        <w:jc w:val="both"/>
        <w:rPr>
          <w:i/>
          <w:color w:val="FF0000"/>
          <w:sz w:val="20"/>
          <w:szCs w:val="20"/>
        </w:rPr>
      </w:pPr>
      <w:r w:rsidRPr="00F027D6">
        <w:rPr>
          <w:i/>
          <w:color w:val="FF0000"/>
          <w:sz w:val="20"/>
          <w:szCs w:val="20"/>
        </w:rPr>
        <w:t>Det med kursiv er udviklingen skønnet af KL for landet som helhed.</w:t>
      </w:r>
    </w:p>
    <w:p w:rsidR="00EC68BA" w:rsidRDefault="00EC68BA" w:rsidP="00EC68BA"/>
    <w:p w:rsidR="00DA3545" w:rsidRDefault="00BC573F" w:rsidP="00E17A6F">
      <w:pPr>
        <w:jc w:val="both"/>
      </w:pPr>
      <w:r>
        <w:t>Udviklingen fra 201</w:t>
      </w:r>
      <w:r w:rsidR="00C24023">
        <w:t>1 til 2012 skønnes af KL pr. 2. september 2013 til 3,3</w:t>
      </w:r>
      <w:r w:rsidR="00DA3545">
        <w:t xml:space="preserve"> pct. for landet som hel</w:t>
      </w:r>
      <w:r w:rsidR="009D6912">
        <w:t xml:space="preserve">hed. </w:t>
      </w:r>
      <w:r w:rsidR="00176B7E">
        <w:t xml:space="preserve"> </w:t>
      </w:r>
      <w:r w:rsidR="00BE1A66">
        <w:t>D</w:t>
      </w:r>
      <w:r w:rsidR="00176B7E">
        <w:t xml:space="preserve">en skønnede </w:t>
      </w:r>
      <w:r w:rsidR="00DA3545">
        <w:t>vækst for Holstebro Kom</w:t>
      </w:r>
      <w:r w:rsidR="004749F1">
        <w:t>mune efter 2</w:t>
      </w:r>
      <w:r w:rsidR="00C24023">
        <w:t>7</w:t>
      </w:r>
      <w:r w:rsidR="00EC68BA">
        <w:t xml:space="preserve">. skattekørsel </w:t>
      </w:r>
      <w:r w:rsidR="004A6899">
        <w:t xml:space="preserve">er </w:t>
      </w:r>
      <w:r w:rsidR="00EC68BA">
        <w:t xml:space="preserve">beregnet </w:t>
      </w:r>
      <w:r w:rsidR="00C24023">
        <w:t>til 3,85</w:t>
      </w:r>
      <w:r w:rsidR="00EC68BA">
        <w:t xml:space="preserve"> pct., h</w:t>
      </w:r>
      <w:r w:rsidR="00C24023">
        <w:t>vilket er 0</w:t>
      </w:r>
      <w:r w:rsidR="004749F1">
        <w:t>,</w:t>
      </w:r>
      <w:r w:rsidR="00C24023">
        <w:t>55</w:t>
      </w:r>
      <w:r>
        <w:t xml:space="preserve"> pct. over</w:t>
      </w:r>
      <w:r w:rsidR="00DA3545">
        <w:t xml:space="preserve"> den af KL skønned</w:t>
      </w:r>
      <w:r w:rsidR="00EC68BA">
        <w:t>e vækst for hele lan</w:t>
      </w:r>
      <w:r>
        <w:t>det fra 2011 til 2012</w:t>
      </w:r>
      <w:r w:rsidR="00DA3545">
        <w:t>.</w:t>
      </w:r>
    </w:p>
    <w:p w:rsidR="002B7D1F" w:rsidRDefault="002B7D1F" w:rsidP="00E17A6F">
      <w:pPr>
        <w:jc w:val="both"/>
      </w:pPr>
    </w:p>
    <w:p w:rsidR="002B7D1F" w:rsidRDefault="002B7D1F" w:rsidP="00E17A6F">
      <w:pPr>
        <w:jc w:val="both"/>
        <w:rPr>
          <w:b/>
        </w:rPr>
      </w:pPr>
      <w:r w:rsidRPr="002B7D1F">
        <w:rPr>
          <w:b/>
        </w:rPr>
        <w:t>Befolkningsudvikling</w:t>
      </w:r>
    </w:p>
    <w:p w:rsidR="002B7D1F" w:rsidRPr="004A6899" w:rsidRDefault="002B7D1F" w:rsidP="00E17A6F">
      <w:pPr>
        <w:jc w:val="both"/>
        <w:rPr>
          <w:b/>
          <w:sz w:val="16"/>
          <w:szCs w:val="16"/>
        </w:rPr>
      </w:pPr>
    </w:p>
    <w:p w:rsidR="002B7D1F" w:rsidRDefault="002B7D1F" w:rsidP="00E17A6F">
      <w:pPr>
        <w:jc w:val="both"/>
      </w:pPr>
      <w:r>
        <w:t>Det statsgaranterede udskrivningsgrundlag er baseret på befolkningsfre</w:t>
      </w:r>
      <w:r>
        <w:t>m</w:t>
      </w:r>
      <w:r>
        <w:t>skrivninger,</w:t>
      </w:r>
      <w:r w:rsidR="008C3510">
        <w:t xml:space="preserve"> fra Danmarks Statistiks seneste befolkningsprognose</w:t>
      </w:r>
      <w:r>
        <w:t xml:space="preserve"> som er gengivet herunder:</w:t>
      </w:r>
    </w:p>
    <w:p w:rsidR="002B7D1F" w:rsidRPr="002B7D1F" w:rsidRDefault="002B7D1F" w:rsidP="00E17A6F">
      <w:pPr>
        <w:jc w:val="both"/>
      </w:pPr>
      <w:r>
        <w:t xml:space="preserve"> </w:t>
      </w:r>
    </w:p>
    <w:tbl>
      <w:tblPr>
        <w:tblW w:w="9580" w:type="dxa"/>
        <w:tblInd w:w="55" w:type="dxa"/>
        <w:tblCellMar>
          <w:left w:w="70" w:type="dxa"/>
          <w:right w:w="70" w:type="dxa"/>
        </w:tblCellMar>
        <w:tblLook w:val="04A0"/>
      </w:tblPr>
      <w:tblGrid>
        <w:gridCol w:w="1310"/>
        <w:gridCol w:w="1151"/>
        <w:gridCol w:w="945"/>
        <w:gridCol w:w="1244"/>
        <w:gridCol w:w="1244"/>
        <w:gridCol w:w="1244"/>
        <w:gridCol w:w="1244"/>
        <w:gridCol w:w="1198"/>
      </w:tblGrid>
      <w:tr w:rsidR="002B7D1F" w:rsidRPr="002B7D1F" w:rsidTr="000619FE">
        <w:trPr>
          <w:trHeight w:val="300"/>
        </w:trPr>
        <w:tc>
          <w:tcPr>
            <w:tcW w:w="8382" w:type="dxa"/>
            <w:gridSpan w:val="7"/>
            <w:tcBorders>
              <w:top w:val="nil"/>
              <w:left w:val="nil"/>
              <w:bottom w:val="nil"/>
              <w:right w:val="nil"/>
            </w:tcBorders>
            <w:shd w:val="clear" w:color="auto" w:fill="auto"/>
            <w:noWrap/>
            <w:vAlign w:val="bottom"/>
            <w:hideMark/>
          </w:tcPr>
          <w:p w:rsidR="002B7D1F" w:rsidRPr="002B7D1F" w:rsidRDefault="002B7D1F" w:rsidP="002B7D1F">
            <w:pPr>
              <w:rPr>
                <w:rFonts w:cs="Arial"/>
                <w:b/>
                <w:bCs/>
                <w:sz w:val="22"/>
                <w:szCs w:val="22"/>
              </w:rPr>
            </w:pPr>
            <w:r w:rsidRPr="002B7D1F">
              <w:rPr>
                <w:rFonts w:cs="Arial"/>
                <w:b/>
                <w:bCs/>
                <w:sz w:val="22"/>
                <w:szCs w:val="22"/>
              </w:rPr>
              <w:t>Befolkningsgrundlag for skattefremskrivningen (folketal medio året)</w:t>
            </w:r>
          </w:p>
        </w:tc>
        <w:tc>
          <w:tcPr>
            <w:tcW w:w="1198" w:type="dxa"/>
            <w:tcBorders>
              <w:top w:val="nil"/>
              <w:left w:val="nil"/>
              <w:bottom w:val="nil"/>
              <w:right w:val="nil"/>
            </w:tcBorders>
            <w:shd w:val="clear" w:color="auto" w:fill="auto"/>
            <w:noWrap/>
            <w:vAlign w:val="bottom"/>
            <w:hideMark/>
          </w:tcPr>
          <w:p w:rsidR="002B7D1F" w:rsidRPr="002B7D1F" w:rsidRDefault="002B7D1F" w:rsidP="002B7D1F">
            <w:pPr>
              <w:rPr>
                <w:rFonts w:ascii="Calibri" w:hAnsi="Calibri" w:cs="Arial"/>
                <w:color w:val="000000"/>
                <w:sz w:val="22"/>
                <w:szCs w:val="22"/>
              </w:rPr>
            </w:pPr>
          </w:p>
        </w:tc>
      </w:tr>
      <w:tr w:rsidR="002B7D1F" w:rsidRPr="002B7D1F" w:rsidTr="000619FE">
        <w:trPr>
          <w:trHeight w:val="300"/>
        </w:trPr>
        <w:tc>
          <w:tcPr>
            <w:tcW w:w="1310" w:type="dxa"/>
            <w:tcBorders>
              <w:top w:val="single" w:sz="4" w:space="0" w:color="auto"/>
              <w:left w:val="single" w:sz="4" w:space="0" w:color="auto"/>
              <w:bottom w:val="nil"/>
              <w:right w:val="nil"/>
            </w:tcBorders>
            <w:shd w:val="clear" w:color="000000" w:fill="333399"/>
            <w:noWrap/>
            <w:vAlign w:val="bottom"/>
            <w:hideMark/>
          </w:tcPr>
          <w:p w:rsidR="002B7D1F" w:rsidRPr="002B7D1F" w:rsidRDefault="002B7D1F" w:rsidP="002B7D1F">
            <w:pPr>
              <w:jc w:val="center"/>
              <w:rPr>
                <w:rFonts w:cs="Arial"/>
                <w:b/>
                <w:bCs/>
                <w:color w:val="FFFFFF"/>
                <w:sz w:val="20"/>
                <w:szCs w:val="20"/>
              </w:rPr>
            </w:pPr>
            <w:r w:rsidRPr="002B7D1F">
              <w:rPr>
                <w:rFonts w:cs="Arial"/>
                <w:b/>
                <w:bCs/>
                <w:color w:val="FFFFFF"/>
                <w:sz w:val="20"/>
                <w:szCs w:val="20"/>
              </w:rPr>
              <w:t> </w:t>
            </w:r>
          </w:p>
        </w:tc>
        <w:tc>
          <w:tcPr>
            <w:tcW w:w="1151" w:type="dxa"/>
            <w:tcBorders>
              <w:top w:val="single" w:sz="4" w:space="0" w:color="auto"/>
              <w:left w:val="nil"/>
              <w:bottom w:val="nil"/>
              <w:right w:val="nil"/>
            </w:tcBorders>
            <w:shd w:val="clear" w:color="000000" w:fill="333399"/>
            <w:noWrap/>
            <w:vAlign w:val="bottom"/>
            <w:hideMark/>
          </w:tcPr>
          <w:p w:rsidR="002B7D1F" w:rsidRPr="002B7D1F" w:rsidRDefault="002B7D1F" w:rsidP="002B7D1F">
            <w:pPr>
              <w:jc w:val="center"/>
              <w:rPr>
                <w:rFonts w:cs="Arial"/>
                <w:b/>
                <w:bCs/>
                <w:color w:val="FFFFFF"/>
                <w:sz w:val="20"/>
                <w:szCs w:val="20"/>
              </w:rPr>
            </w:pPr>
            <w:r w:rsidRPr="002B7D1F">
              <w:rPr>
                <w:rFonts w:cs="Arial"/>
                <w:b/>
                <w:bCs/>
                <w:color w:val="FFFFFF"/>
                <w:sz w:val="20"/>
                <w:szCs w:val="20"/>
              </w:rPr>
              <w:t>2011</w:t>
            </w:r>
          </w:p>
        </w:tc>
        <w:tc>
          <w:tcPr>
            <w:tcW w:w="945" w:type="dxa"/>
            <w:tcBorders>
              <w:top w:val="single" w:sz="4" w:space="0" w:color="auto"/>
              <w:left w:val="nil"/>
              <w:bottom w:val="nil"/>
              <w:right w:val="nil"/>
            </w:tcBorders>
            <w:shd w:val="clear" w:color="000000" w:fill="333399"/>
            <w:noWrap/>
            <w:vAlign w:val="bottom"/>
            <w:hideMark/>
          </w:tcPr>
          <w:p w:rsidR="002B7D1F" w:rsidRPr="002B7D1F" w:rsidRDefault="002B7D1F" w:rsidP="002B7D1F">
            <w:pPr>
              <w:jc w:val="center"/>
              <w:rPr>
                <w:rFonts w:cs="Arial"/>
                <w:b/>
                <w:bCs/>
                <w:color w:val="FFFFFF"/>
                <w:sz w:val="20"/>
                <w:szCs w:val="20"/>
              </w:rPr>
            </w:pPr>
            <w:r w:rsidRPr="002B7D1F">
              <w:rPr>
                <w:rFonts w:cs="Arial"/>
                <w:b/>
                <w:bCs/>
                <w:color w:val="FFFFFF"/>
                <w:sz w:val="20"/>
                <w:szCs w:val="20"/>
              </w:rPr>
              <w:t>2012</w:t>
            </w:r>
          </w:p>
        </w:tc>
        <w:tc>
          <w:tcPr>
            <w:tcW w:w="1244" w:type="dxa"/>
            <w:tcBorders>
              <w:top w:val="single" w:sz="4" w:space="0" w:color="auto"/>
              <w:left w:val="nil"/>
              <w:bottom w:val="nil"/>
              <w:right w:val="nil"/>
            </w:tcBorders>
            <w:shd w:val="clear" w:color="000000" w:fill="333399"/>
            <w:noWrap/>
            <w:vAlign w:val="bottom"/>
            <w:hideMark/>
          </w:tcPr>
          <w:p w:rsidR="002B7D1F" w:rsidRPr="002B7D1F" w:rsidRDefault="002B7D1F" w:rsidP="002B7D1F">
            <w:pPr>
              <w:jc w:val="center"/>
              <w:rPr>
                <w:rFonts w:cs="Arial"/>
                <w:b/>
                <w:bCs/>
                <w:color w:val="FFFFFF"/>
                <w:sz w:val="20"/>
                <w:szCs w:val="20"/>
              </w:rPr>
            </w:pPr>
            <w:r w:rsidRPr="002B7D1F">
              <w:rPr>
                <w:rFonts w:cs="Arial"/>
                <w:b/>
                <w:bCs/>
                <w:color w:val="FFFFFF"/>
                <w:sz w:val="20"/>
                <w:szCs w:val="20"/>
              </w:rPr>
              <w:t>2013</w:t>
            </w:r>
          </w:p>
        </w:tc>
        <w:tc>
          <w:tcPr>
            <w:tcW w:w="1244" w:type="dxa"/>
            <w:tcBorders>
              <w:top w:val="single" w:sz="4" w:space="0" w:color="auto"/>
              <w:left w:val="nil"/>
              <w:bottom w:val="nil"/>
              <w:right w:val="nil"/>
            </w:tcBorders>
            <w:shd w:val="clear" w:color="000000" w:fill="333399"/>
            <w:noWrap/>
            <w:vAlign w:val="bottom"/>
            <w:hideMark/>
          </w:tcPr>
          <w:p w:rsidR="002B7D1F" w:rsidRPr="002B7D1F" w:rsidRDefault="002B7D1F" w:rsidP="002B7D1F">
            <w:pPr>
              <w:jc w:val="center"/>
              <w:rPr>
                <w:rFonts w:cs="Arial"/>
                <w:b/>
                <w:bCs/>
                <w:color w:val="FFFFFF"/>
                <w:sz w:val="20"/>
                <w:szCs w:val="20"/>
              </w:rPr>
            </w:pPr>
            <w:r w:rsidRPr="002B7D1F">
              <w:rPr>
                <w:rFonts w:cs="Arial"/>
                <w:b/>
                <w:bCs/>
                <w:color w:val="FFFFFF"/>
                <w:sz w:val="20"/>
                <w:szCs w:val="20"/>
              </w:rPr>
              <w:t>2014</w:t>
            </w:r>
          </w:p>
        </w:tc>
        <w:tc>
          <w:tcPr>
            <w:tcW w:w="1244" w:type="dxa"/>
            <w:tcBorders>
              <w:top w:val="single" w:sz="4" w:space="0" w:color="auto"/>
              <w:left w:val="nil"/>
              <w:bottom w:val="nil"/>
              <w:right w:val="nil"/>
            </w:tcBorders>
            <w:shd w:val="clear" w:color="000000" w:fill="333399"/>
            <w:noWrap/>
            <w:vAlign w:val="bottom"/>
            <w:hideMark/>
          </w:tcPr>
          <w:p w:rsidR="002B7D1F" w:rsidRPr="002B7D1F" w:rsidRDefault="002B7D1F" w:rsidP="002B7D1F">
            <w:pPr>
              <w:jc w:val="center"/>
              <w:rPr>
                <w:rFonts w:cs="Arial"/>
                <w:b/>
                <w:bCs/>
                <w:color w:val="FFFFFF"/>
                <w:sz w:val="20"/>
                <w:szCs w:val="20"/>
              </w:rPr>
            </w:pPr>
            <w:r w:rsidRPr="002B7D1F">
              <w:rPr>
                <w:rFonts w:cs="Arial"/>
                <w:b/>
                <w:bCs/>
                <w:color w:val="FFFFFF"/>
                <w:sz w:val="20"/>
                <w:szCs w:val="20"/>
              </w:rPr>
              <w:t>2015</w:t>
            </w:r>
          </w:p>
        </w:tc>
        <w:tc>
          <w:tcPr>
            <w:tcW w:w="1244" w:type="dxa"/>
            <w:tcBorders>
              <w:top w:val="single" w:sz="4" w:space="0" w:color="auto"/>
              <w:left w:val="nil"/>
              <w:bottom w:val="nil"/>
              <w:right w:val="nil"/>
            </w:tcBorders>
            <w:shd w:val="clear" w:color="000000" w:fill="333399"/>
            <w:noWrap/>
            <w:vAlign w:val="bottom"/>
            <w:hideMark/>
          </w:tcPr>
          <w:p w:rsidR="002B7D1F" w:rsidRPr="002B7D1F" w:rsidRDefault="002B7D1F" w:rsidP="002B7D1F">
            <w:pPr>
              <w:jc w:val="center"/>
              <w:rPr>
                <w:rFonts w:cs="Arial"/>
                <w:b/>
                <w:bCs/>
                <w:color w:val="FFFFFF"/>
                <w:sz w:val="20"/>
                <w:szCs w:val="20"/>
              </w:rPr>
            </w:pPr>
            <w:r w:rsidRPr="002B7D1F">
              <w:rPr>
                <w:rFonts w:cs="Arial"/>
                <w:b/>
                <w:bCs/>
                <w:color w:val="FFFFFF"/>
                <w:sz w:val="20"/>
                <w:szCs w:val="20"/>
              </w:rPr>
              <w:t>2016</w:t>
            </w:r>
          </w:p>
        </w:tc>
        <w:tc>
          <w:tcPr>
            <w:tcW w:w="1198" w:type="dxa"/>
            <w:tcBorders>
              <w:top w:val="single" w:sz="4" w:space="0" w:color="auto"/>
              <w:left w:val="nil"/>
              <w:bottom w:val="nil"/>
              <w:right w:val="single" w:sz="4" w:space="0" w:color="auto"/>
            </w:tcBorders>
            <w:shd w:val="clear" w:color="000000" w:fill="333399"/>
            <w:noWrap/>
            <w:vAlign w:val="bottom"/>
            <w:hideMark/>
          </w:tcPr>
          <w:p w:rsidR="002B7D1F" w:rsidRPr="002B7D1F" w:rsidRDefault="002B7D1F" w:rsidP="002B7D1F">
            <w:pPr>
              <w:jc w:val="center"/>
              <w:rPr>
                <w:rFonts w:cs="Arial"/>
                <w:b/>
                <w:bCs/>
                <w:color w:val="FFFFFF"/>
                <w:sz w:val="20"/>
                <w:szCs w:val="20"/>
              </w:rPr>
            </w:pPr>
            <w:r w:rsidRPr="002B7D1F">
              <w:rPr>
                <w:rFonts w:cs="Arial"/>
                <w:b/>
                <w:bCs/>
                <w:color w:val="FFFFFF"/>
                <w:sz w:val="20"/>
                <w:szCs w:val="20"/>
              </w:rPr>
              <w:t>2017</w:t>
            </w:r>
          </w:p>
        </w:tc>
      </w:tr>
      <w:tr w:rsidR="002B7D1F" w:rsidRPr="002B7D1F" w:rsidTr="000619FE">
        <w:trPr>
          <w:trHeight w:val="300"/>
        </w:trPr>
        <w:tc>
          <w:tcPr>
            <w:tcW w:w="1310" w:type="dxa"/>
            <w:tcBorders>
              <w:top w:val="nil"/>
              <w:left w:val="single" w:sz="4" w:space="0" w:color="auto"/>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0-17 år </w:t>
            </w:r>
          </w:p>
        </w:tc>
        <w:tc>
          <w:tcPr>
            <w:tcW w:w="1151" w:type="dxa"/>
            <w:tcBorders>
              <w:top w:val="nil"/>
              <w:left w:val="nil"/>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13.118 </w:t>
            </w:r>
          </w:p>
        </w:tc>
        <w:tc>
          <w:tcPr>
            <w:tcW w:w="945"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13.021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12.880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12.749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12.609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12.480 </w:t>
            </w:r>
          </w:p>
        </w:tc>
        <w:tc>
          <w:tcPr>
            <w:tcW w:w="1198" w:type="dxa"/>
            <w:tcBorders>
              <w:top w:val="nil"/>
              <w:left w:val="nil"/>
              <w:bottom w:val="nil"/>
              <w:right w:val="single" w:sz="4" w:space="0" w:color="auto"/>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12.385 </w:t>
            </w:r>
          </w:p>
        </w:tc>
      </w:tr>
      <w:tr w:rsidR="002B7D1F" w:rsidRPr="002B7D1F" w:rsidTr="000619FE">
        <w:trPr>
          <w:trHeight w:val="300"/>
        </w:trPr>
        <w:tc>
          <w:tcPr>
            <w:tcW w:w="1310" w:type="dxa"/>
            <w:tcBorders>
              <w:top w:val="nil"/>
              <w:left w:val="single" w:sz="4" w:space="0" w:color="auto"/>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18-25 år </w:t>
            </w:r>
          </w:p>
        </w:tc>
        <w:tc>
          <w:tcPr>
            <w:tcW w:w="1151" w:type="dxa"/>
            <w:tcBorders>
              <w:top w:val="nil"/>
              <w:left w:val="nil"/>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5.626 </w:t>
            </w:r>
          </w:p>
        </w:tc>
        <w:tc>
          <w:tcPr>
            <w:tcW w:w="945"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5.677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5.735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5.721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5.713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5.703 </w:t>
            </w:r>
          </w:p>
        </w:tc>
        <w:tc>
          <w:tcPr>
            <w:tcW w:w="1198" w:type="dxa"/>
            <w:tcBorders>
              <w:top w:val="nil"/>
              <w:left w:val="nil"/>
              <w:bottom w:val="nil"/>
              <w:right w:val="single" w:sz="4" w:space="0" w:color="auto"/>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5.670 </w:t>
            </w:r>
          </w:p>
        </w:tc>
      </w:tr>
      <w:tr w:rsidR="002B7D1F" w:rsidRPr="002B7D1F" w:rsidTr="000619FE">
        <w:trPr>
          <w:trHeight w:val="300"/>
        </w:trPr>
        <w:tc>
          <w:tcPr>
            <w:tcW w:w="1310" w:type="dxa"/>
            <w:tcBorders>
              <w:top w:val="nil"/>
              <w:left w:val="single" w:sz="4" w:space="0" w:color="auto"/>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26-40 år </w:t>
            </w:r>
          </w:p>
        </w:tc>
        <w:tc>
          <w:tcPr>
            <w:tcW w:w="1151" w:type="dxa"/>
            <w:tcBorders>
              <w:top w:val="nil"/>
              <w:left w:val="nil"/>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10.233 </w:t>
            </w:r>
          </w:p>
        </w:tc>
        <w:tc>
          <w:tcPr>
            <w:tcW w:w="945"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10.102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9.972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9.839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9.739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9.636 </w:t>
            </w:r>
          </w:p>
        </w:tc>
        <w:tc>
          <w:tcPr>
            <w:tcW w:w="1198" w:type="dxa"/>
            <w:tcBorders>
              <w:top w:val="nil"/>
              <w:left w:val="nil"/>
              <w:bottom w:val="nil"/>
              <w:right w:val="single" w:sz="4" w:space="0" w:color="auto"/>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9.536 </w:t>
            </w:r>
          </w:p>
        </w:tc>
      </w:tr>
      <w:tr w:rsidR="002B7D1F" w:rsidRPr="002B7D1F" w:rsidTr="000619FE">
        <w:trPr>
          <w:trHeight w:val="300"/>
        </w:trPr>
        <w:tc>
          <w:tcPr>
            <w:tcW w:w="1310" w:type="dxa"/>
            <w:tcBorders>
              <w:top w:val="nil"/>
              <w:left w:val="single" w:sz="4" w:space="0" w:color="auto"/>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41-60 år </w:t>
            </w:r>
          </w:p>
        </w:tc>
        <w:tc>
          <w:tcPr>
            <w:tcW w:w="1151" w:type="dxa"/>
            <w:tcBorders>
              <w:top w:val="nil"/>
              <w:left w:val="nil"/>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15.559 </w:t>
            </w:r>
          </w:p>
        </w:tc>
        <w:tc>
          <w:tcPr>
            <w:tcW w:w="945"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15.513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15.490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15.437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15.386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15.365 </w:t>
            </w:r>
          </w:p>
        </w:tc>
        <w:tc>
          <w:tcPr>
            <w:tcW w:w="1198" w:type="dxa"/>
            <w:tcBorders>
              <w:top w:val="nil"/>
              <w:left w:val="nil"/>
              <w:bottom w:val="nil"/>
              <w:right w:val="single" w:sz="4" w:space="0" w:color="auto"/>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15.312 </w:t>
            </w:r>
          </w:p>
        </w:tc>
      </w:tr>
      <w:tr w:rsidR="002B7D1F" w:rsidRPr="002B7D1F" w:rsidTr="000619FE">
        <w:trPr>
          <w:trHeight w:val="300"/>
        </w:trPr>
        <w:tc>
          <w:tcPr>
            <w:tcW w:w="1310" w:type="dxa"/>
            <w:tcBorders>
              <w:top w:val="nil"/>
              <w:left w:val="single" w:sz="4" w:space="0" w:color="auto"/>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60+ år 1) </w:t>
            </w:r>
          </w:p>
        </w:tc>
        <w:tc>
          <w:tcPr>
            <w:tcW w:w="1151" w:type="dxa"/>
            <w:tcBorders>
              <w:top w:val="nil"/>
              <w:left w:val="nil"/>
              <w:bottom w:val="nil"/>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12.622 </w:t>
            </w:r>
          </w:p>
        </w:tc>
        <w:tc>
          <w:tcPr>
            <w:tcW w:w="945"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12.892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13.173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13.489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13.775 </w:t>
            </w:r>
          </w:p>
        </w:tc>
        <w:tc>
          <w:tcPr>
            <w:tcW w:w="1244" w:type="dxa"/>
            <w:tcBorders>
              <w:top w:val="nil"/>
              <w:left w:val="nil"/>
              <w:bottom w:val="nil"/>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14.028 </w:t>
            </w:r>
          </w:p>
        </w:tc>
        <w:tc>
          <w:tcPr>
            <w:tcW w:w="1198" w:type="dxa"/>
            <w:tcBorders>
              <w:top w:val="nil"/>
              <w:left w:val="nil"/>
              <w:bottom w:val="nil"/>
              <w:right w:val="single" w:sz="4" w:space="0" w:color="auto"/>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14.301 </w:t>
            </w:r>
          </w:p>
        </w:tc>
      </w:tr>
      <w:tr w:rsidR="002B7D1F" w:rsidRPr="002B7D1F" w:rsidTr="000619FE">
        <w:trPr>
          <w:trHeight w:val="300"/>
        </w:trPr>
        <w:tc>
          <w:tcPr>
            <w:tcW w:w="1310" w:type="dxa"/>
            <w:tcBorders>
              <w:top w:val="single" w:sz="4" w:space="0" w:color="auto"/>
              <w:left w:val="single" w:sz="4" w:space="0" w:color="auto"/>
              <w:bottom w:val="single" w:sz="4" w:space="0" w:color="auto"/>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Alder i alt </w:t>
            </w:r>
          </w:p>
        </w:tc>
        <w:tc>
          <w:tcPr>
            <w:tcW w:w="1151" w:type="dxa"/>
            <w:tcBorders>
              <w:top w:val="single" w:sz="4" w:space="0" w:color="auto"/>
              <w:left w:val="nil"/>
              <w:bottom w:val="single" w:sz="4" w:space="0" w:color="auto"/>
              <w:right w:val="nil"/>
            </w:tcBorders>
            <w:shd w:val="clear" w:color="000000" w:fill="CCCCFF"/>
            <w:noWrap/>
            <w:vAlign w:val="bottom"/>
            <w:hideMark/>
          </w:tcPr>
          <w:p w:rsidR="002B7D1F" w:rsidRPr="002B7D1F" w:rsidRDefault="002B7D1F" w:rsidP="002B7D1F">
            <w:pPr>
              <w:rPr>
                <w:rFonts w:cs="Arial"/>
                <w:color w:val="000000"/>
                <w:sz w:val="18"/>
                <w:szCs w:val="18"/>
              </w:rPr>
            </w:pPr>
            <w:r w:rsidRPr="002B7D1F">
              <w:rPr>
                <w:rFonts w:cs="Arial"/>
                <w:color w:val="000000"/>
                <w:sz w:val="18"/>
                <w:szCs w:val="18"/>
              </w:rPr>
              <w:t xml:space="preserve">           57.157 </w:t>
            </w:r>
          </w:p>
        </w:tc>
        <w:tc>
          <w:tcPr>
            <w:tcW w:w="945" w:type="dxa"/>
            <w:tcBorders>
              <w:top w:val="single" w:sz="4" w:space="0" w:color="auto"/>
              <w:left w:val="nil"/>
              <w:bottom w:val="single" w:sz="4" w:space="0" w:color="auto"/>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57.204 </w:t>
            </w:r>
          </w:p>
        </w:tc>
        <w:tc>
          <w:tcPr>
            <w:tcW w:w="1244" w:type="dxa"/>
            <w:tcBorders>
              <w:top w:val="single" w:sz="4" w:space="0" w:color="auto"/>
              <w:left w:val="nil"/>
              <w:bottom w:val="single" w:sz="4" w:space="0" w:color="auto"/>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57.248 </w:t>
            </w:r>
          </w:p>
        </w:tc>
        <w:tc>
          <w:tcPr>
            <w:tcW w:w="1244" w:type="dxa"/>
            <w:tcBorders>
              <w:top w:val="single" w:sz="4" w:space="0" w:color="auto"/>
              <w:left w:val="nil"/>
              <w:bottom w:val="single" w:sz="4" w:space="0" w:color="auto"/>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57.234 </w:t>
            </w:r>
          </w:p>
        </w:tc>
        <w:tc>
          <w:tcPr>
            <w:tcW w:w="1244" w:type="dxa"/>
            <w:tcBorders>
              <w:top w:val="single" w:sz="4" w:space="0" w:color="auto"/>
              <w:left w:val="nil"/>
              <w:bottom w:val="single" w:sz="4" w:space="0" w:color="auto"/>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57.222 </w:t>
            </w:r>
          </w:p>
        </w:tc>
        <w:tc>
          <w:tcPr>
            <w:tcW w:w="1244" w:type="dxa"/>
            <w:tcBorders>
              <w:top w:val="single" w:sz="4" w:space="0" w:color="auto"/>
              <w:left w:val="nil"/>
              <w:bottom w:val="single" w:sz="4" w:space="0" w:color="auto"/>
              <w:right w:val="nil"/>
            </w:tcBorders>
            <w:shd w:val="clear" w:color="000000" w:fill="CCCCFF"/>
            <w:noWrap/>
            <w:vAlign w:val="bottom"/>
            <w:hideMark/>
          </w:tcPr>
          <w:p w:rsidR="002B7D1F" w:rsidRPr="002B7D1F" w:rsidRDefault="002B7D1F" w:rsidP="002B7D1F">
            <w:pPr>
              <w:jc w:val="right"/>
              <w:rPr>
                <w:rFonts w:cs="Arial"/>
                <w:color w:val="000000"/>
                <w:sz w:val="18"/>
                <w:szCs w:val="18"/>
              </w:rPr>
            </w:pPr>
            <w:r w:rsidRPr="002B7D1F">
              <w:rPr>
                <w:rFonts w:cs="Arial"/>
                <w:color w:val="000000"/>
                <w:sz w:val="18"/>
                <w:szCs w:val="18"/>
              </w:rPr>
              <w:t xml:space="preserve">           57.211 </w:t>
            </w:r>
          </w:p>
        </w:tc>
        <w:tc>
          <w:tcPr>
            <w:tcW w:w="1198" w:type="dxa"/>
            <w:tcBorders>
              <w:top w:val="single" w:sz="4" w:space="0" w:color="auto"/>
              <w:left w:val="nil"/>
              <w:bottom w:val="single" w:sz="4" w:space="0" w:color="auto"/>
              <w:right w:val="single" w:sz="4" w:space="0" w:color="auto"/>
            </w:tcBorders>
            <w:shd w:val="clear" w:color="000000" w:fill="CCCCFF"/>
            <w:noWrap/>
            <w:vAlign w:val="bottom"/>
            <w:hideMark/>
          </w:tcPr>
          <w:p w:rsidR="002B7D1F" w:rsidRPr="002B7D1F" w:rsidRDefault="002B7D1F" w:rsidP="001479EB">
            <w:pPr>
              <w:jc w:val="right"/>
              <w:rPr>
                <w:rFonts w:cs="Arial"/>
                <w:color w:val="000000"/>
                <w:sz w:val="18"/>
                <w:szCs w:val="18"/>
              </w:rPr>
            </w:pPr>
            <w:r w:rsidRPr="002B7D1F">
              <w:rPr>
                <w:rFonts w:cs="Arial"/>
                <w:color w:val="000000"/>
                <w:sz w:val="18"/>
                <w:szCs w:val="18"/>
              </w:rPr>
              <w:t xml:space="preserve">           57.203 </w:t>
            </w:r>
          </w:p>
        </w:tc>
      </w:tr>
      <w:tr w:rsidR="002B7D1F" w:rsidRPr="002B7D1F" w:rsidTr="000619FE">
        <w:trPr>
          <w:trHeight w:val="300"/>
        </w:trPr>
        <w:tc>
          <w:tcPr>
            <w:tcW w:w="1310" w:type="dxa"/>
            <w:tcBorders>
              <w:top w:val="nil"/>
              <w:left w:val="nil"/>
              <w:bottom w:val="nil"/>
              <w:right w:val="nil"/>
            </w:tcBorders>
            <w:shd w:val="clear" w:color="auto" w:fill="auto"/>
            <w:noWrap/>
            <w:vAlign w:val="bottom"/>
            <w:hideMark/>
          </w:tcPr>
          <w:p w:rsidR="002B7D1F" w:rsidRPr="002B7D1F" w:rsidRDefault="002B7D1F" w:rsidP="002B7D1F">
            <w:pPr>
              <w:rPr>
                <w:rFonts w:ascii="Calibri" w:hAnsi="Calibri" w:cs="Arial"/>
                <w:color w:val="000000"/>
                <w:sz w:val="22"/>
                <w:szCs w:val="22"/>
              </w:rPr>
            </w:pPr>
          </w:p>
        </w:tc>
        <w:tc>
          <w:tcPr>
            <w:tcW w:w="1151" w:type="dxa"/>
            <w:tcBorders>
              <w:top w:val="nil"/>
              <w:left w:val="nil"/>
              <w:bottom w:val="nil"/>
              <w:right w:val="nil"/>
            </w:tcBorders>
            <w:shd w:val="clear" w:color="auto" w:fill="auto"/>
            <w:noWrap/>
            <w:vAlign w:val="bottom"/>
            <w:hideMark/>
          </w:tcPr>
          <w:p w:rsidR="002B7D1F" w:rsidRPr="002B7D1F" w:rsidRDefault="002B7D1F" w:rsidP="002B7D1F">
            <w:pPr>
              <w:rPr>
                <w:rFonts w:ascii="Calibri" w:hAnsi="Calibri" w:cs="Arial"/>
                <w:color w:val="000000"/>
                <w:sz w:val="22"/>
                <w:szCs w:val="22"/>
              </w:rPr>
            </w:pPr>
          </w:p>
        </w:tc>
        <w:tc>
          <w:tcPr>
            <w:tcW w:w="945" w:type="dxa"/>
            <w:tcBorders>
              <w:top w:val="nil"/>
              <w:left w:val="nil"/>
              <w:bottom w:val="nil"/>
              <w:right w:val="nil"/>
            </w:tcBorders>
            <w:shd w:val="clear" w:color="auto" w:fill="auto"/>
            <w:noWrap/>
            <w:vAlign w:val="bottom"/>
            <w:hideMark/>
          </w:tcPr>
          <w:p w:rsidR="002B7D1F" w:rsidRPr="002B7D1F" w:rsidRDefault="002B7D1F" w:rsidP="002B7D1F">
            <w:pPr>
              <w:rPr>
                <w:rFonts w:ascii="Calibri" w:hAnsi="Calibri" w:cs="Arial"/>
                <w:color w:val="000000"/>
                <w:sz w:val="22"/>
                <w:szCs w:val="22"/>
              </w:rPr>
            </w:pPr>
          </w:p>
        </w:tc>
        <w:tc>
          <w:tcPr>
            <w:tcW w:w="1244" w:type="dxa"/>
            <w:tcBorders>
              <w:top w:val="nil"/>
              <w:left w:val="nil"/>
              <w:bottom w:val="nil"/>
              <w:right w:val="nil"/>
            </w:tcBorders>
            <w:shd w:val="clear" w:color="auto" w:fill="auto"/>
            <w:noWrap/>
            <w:vAlign w:val="bottom"/>
            <w:hideMark/>
          </w:tcPr>
          <w:p w:rsidR="002B7D1F" w:rsidRPr="002B7D1F" w:rsidRDefault="002B7D1F" w:rsidP="002B7D1F">
            <w:pPr>
              <w:rPr>
                <w:rFonts w:ascii="Calibri" w:hAnsi="Calibri" w:cs="Arial"/>
                <w:color w:val="000000"/>
                <w:sz w:val="22"/>
                <w:szCs w:val="22"/>
              </w:rPr>
            </w:pPr>
          </w:p>
        </w:tc>
        <w:tc>
          <w:tcPr>
            <w:tcW w:w="1244" w:type="dxa"/>
            <w:tcBorders>
              <w:top w:val="nil"/>
              <w:left w:val="nil"/>
              <w:bottom w:val="nil"/>
              <w:right w:val="nil"/>
            </w:tcBorders>
            <w:shd w:val="clear" w:color="auto" w:fill="auto"/>
            <w:noWrap/>
            <w:vAlign w:val="bottom"/>
            <w:hideMark/>
          </w:tcPr>
          <w:p w:rsidR="002B7D1F" w:rsidRPr="002B7D1F" w:rsidRDefault="002B7D1F" w:rsidP="002B7D1F">
            <w:pPr>
              <w:rPr>
                <w:rFonts w:ascii="Calibri" w:hAnsi="Calibri" w:cs="Arial"/>
                <w:color w:val="000000"/>
                <w:sz w:val="22"/>
                <w:szCs w:val="22"/>
              </w:rPr>
            </w:pPr>
          </w:p>
        </w:tc>
        <w:tc>
          <w:tcPr>
            <w:tcW w:w="1244" w:type="dxa"/>
            <w:tcBorders>
              <w:top w:val="nil"/>
              <w:left w:val="nil"/>
              <w:bottom w:val="nil"/>
              <w:right w:val="nil"/>
            </w:tcBorders>
            <w:shd w:val="clear" w:color="auto" w:fill="auto"/>
            <w:noWrap/>
            <w:vAlign w:val="bottom"/>
            <w:hideMark/>
          </w:tcPr>
          <w:p w:rsidR="002B7D1F" w:rsidRPr="002B7D1F" w:rsidRDefault="002B7D1F" w:rsidP="002B7D1F">
            <w:pPr>
              <w:rPr>
                <w:rFonts w:ascii="Calibri" w:hAnsi="Calibri" w:cs="Arial"/>
                <w:color w:val="000000"/>
                <w:sz w:val="22"/>
                <w:szCs w:val="22"/>
              </w:rPr>
            </w:pPr>
          </w:p>
        </w:tc>
        <w:tc>
          <w:tcPr>
            <w:tcW w:w="1244" w:type="dxa"/>
            <w:tcBorders>
              <w:top w:val="nil"/>
              <w:left w:val="nil"/>
              <w:bottom w:val="nil"/>
              <w:right w:val="nil"/>
            </w:tcBorders>
            <w:shd w:val="clear" w:color="auto" w:fill="auto"/>
            <w:noWrap/>
            <w:vAlign w:val="bottom"/>
            <w:hideMark/>
          </w:tcPr>
          <w:p w:rsidR="002B7D1F" w:rsidRPr="002B7D1F" w:rsidRDefault="002B7D1F" w:rsidP="002B7D1F">
            <w:pPr>
              <w:rPr>
                <w:rFonts w:ascii="Calibri" w:hAnsi="Calibri" w:cs="Arial"/>
                <w:color w:val="000000"/>
                <w:sz w:val="22"/>
                <w:szCs w:val="22"/>
              </w:rPr>
            </w:pPr>
          </w:p>
        </w:tc>
        <w:tc>
          <w:tcPr>
            <w:tcW w:w="1198" w:type="dxa"/>
            <w:tcBorders>
              <w:top w:val="nil"/>
              <w:left w:val="nil"/>
              <w:bottom w:val="nil"/>
              <w:right w:val="nil"/>
            </w:tcBorders>
            <w:shd w:val="clear" w:color="auto" w:fill="auto"/>
            <w:noWrap/>
            <w:vAlign w:val="bottom"/>
            <w:hideMark/>
          </w:tcPr>
          <w:p w:rsidR="002B7D1F" w:rsidRPr="002B7D1F" w:rsidRDefault="002B7D1F" w:rsidP="002B7D1F">
            <w:pPr>
              <w:rPr>
                <w:rFonts w:ascii="Calibri" w:hAnsi="Calibri" w:cs="Arial"/>
                <w:color w:val="000000"/>
                <w:sz w:val="22"/>
                <w:szCs w:val="22"/>
              </w:rPr>
            </w:pPr>
          </w:p>
        </w:tc>
      </w:tr>
      <w:tr w:rsidR="002B7D1F" w:rsidRPr="008C3510" w:rsidTr="000619FE">
        <w:trPr>
          <w:trHeight w:val="300"/>
        </w:trPr>
        <w:tc>
          <w:tcPr>
            <w:tcW w:w="9580" w:type="dxa"/>
            <w:gridSpan w:val="8"/>
            <w:tcBorders>
              <w:top w:val="nil"/>
              <w:left w:val="nil"/>
              <w:bottom w:val="nil"/>
              <w:right w:val="nil"/>
            </w:tcBorders>
            <w:shd w:val="clear" w:color="auto" w:fill="auto"/>
            <w:noWrap/>
            <w:vAlign w:val="bottom"/>
            <w:hideMark/>
          </w:tcPr>
          <w:p w:rsidR="002B7D1F" w:rsidRDefault="008C3510" w:rsidP="002B7D1F">
            <w:pPr>
              <w:rPr>
                <w:rFonts w:cs="Arial"/>
              </w:rPr>
            </w:pPr>
            <w:r>
              <w:rPr>
                <w:rFonts w:cs="Arial"/>
              </w:rPr>
              <w:lastRenderedPageBreak/>
              <w:t>Det ses at Danmark Statistik forventer en befolknings tilbagegang i Holstebro Kommune.</w:t>
            </w:r>
          </w:p>
          <w:p w:rsidR="008C3510" w:rsidRDefault="008C3510" w:rsidP="002B7D1F">
            <w:pPr>
              <w:rPr>
                <w:rFonts w:cs="Arial"/>
              </w:rPr>
            </w:pPr>
          </w:p>
          <w:p w:rsidR="008C3510" w:rsidRDefault="000619FE" w:rsidP="008C3510">
            <w:pPr>
              <w:rPr>
                <w:rFonts w:cs="Arial"/>
              </w:rPr>
            </w:pPr>
            <w:r>
              <w:rPr>
                <w:rFonts w:cs="Arial"/>
              </w:rPr>
              <w:t>Kommunes</w:t>
            </w:r>
            <w:r w:rsidR="001479EB">
              <w:rPr>
                <w:rFonts w:cs="Arial"/>
              </w:rPr>
              <w:t xml:space="preserve"> egen</w:t>
            </w:r>
            <w:r w:rsidR="008C3510">
              <w:rPr>
                <w:rFonts w:cs="Arial"/>
              </w:rPr>
              <w:t xml:space="preserve"> befolkningsprognose </w:t>
            </w:r>
            <w:r>
              <w:rPr>
                <w:rFonts w:cs="Arial"/>
              </w:rPr>
              <w:t xml:space="preserve">forventer en stigning i befolkningstallet </w:t>
            </w:r>
            <w:r w:rsidR="008C3510">
              <w:rPr>
                <w:rFonts w:cs="Arial"/>
              </w:rPr>
              <w:t>(se tallene herunder</w:t>
            </w:r>
            <w:r>
              <w:rPr>
                <w:rFonts w:cs="Arial"/>
              </w:rPr>
              <w:t>)</w:t>
            </w:r>
            <w:r w:rsidR="008C3510">
              <w:rPr>
                <w:rFonts w:cs="Arial"/>
              </w:rPr>
              <w:t>.</w:t>
            </w:r>
            <w:r w:rsidR="001479EB">
              <w:rPr>
                <w:rFonts w:cs="Arial"/>
              </w:rPr>
              <w:t xml:space="preserve"> Det kan oplyses at befolkningstallet ultimo 2. kvartal 2013 af Danmarks Stat</w:t>
            </w:r>
            <w:r w:rsidR="001479EB">
              <w:rPr>
                <w:rFonts w:cs="Arial"/>
              </w:rPr>
              <w:t>i</w:t>
            </w:r>
            <w:r w:rsidR="001479EB">
              <w:rPr>
                <w:rFonts w:cs="Arial"/>
              </w:rPr>
              <w:t>stik er opgjort til 57.324 hvor det ultimo 2. kvartal 2012 udgjorde 57.217</w:t>
            </w:r>
          </w:p>
          <w:p w:rsidR="00683226" w:rsidRDefault="00683226" w:rsidP="008C3510">
            <w:pPr>
              <w:rPr>
                <w:rFonts w:cs="Arial"/>
              </w:rPr>
            </w:pPr>
          </w:p>
          <w:p w:rsidR="00683226" w:rsidRDefault="00683226" w:rsidP="008C3510">
            <w:pPr>
              <w:rPr>
                <w:rFonts w:cs="Arial"/>
              </w:rPr>
            </w:pPr>
            <w:r>
              <w:rPr>
                <w:rFonts w:cs="Arial"/>
              </w:rPr>
              <w:t xml:space="preserve">Kommunens egen befolkningsprognose er anvendt som grundlag for </w:t>
            </w:r>
            <w:proofErr w:type="spellStart"/>
            <w:r>
              <w:rPr>
                <w:rFonts w:cs="Arial"/>
              </w:rPr>
              <w:t>sevlbudgettering</w:t>
            </w:r>
            <w:proofErr w:type="spellEnd"/>
            <w:r>
              <w:rPr>
                <w:rFonts w:cs="Arial"/>
              </w:rPr>
              <w:t>.</w:t>
            </w:r>
          </w:p>
          <w:p w:rsidR="000619FE" w:rsidRDefault="000619FE" w:rsidP="008C3510">
            <w:pPr>
              <w:rPr>
                <w:rFonts w:cs="Arial"/>
              </w:rPr>
            </w:pPr>
          </w:p>
          <w:tbl>
            <w:tblPr>
              <w:tblW w:w="9440" w:type="dxa"/>
              <w:tblCellMar>
                <w:left w:w="70" w:type="dxa"/>
                <w:right w:w="70" w:type="dxa"/>
              </w:tblCellMar>
              <w:tblLook w:val="04A0"/>
            </w:tblPr>
            <w:tblGrid>
              <w:gridCol w:w="1221"/>
              <w:gridCol w:w="908"/>
              <w:gridCol w:w="1227"/>
              <w:gridCol w:w="1226"/>
              <w:gridCol w:w="1226"/>
              <w:gridCol w:w="1226"/>
              <w:gridCol w:w="1226"/>
              <w:gridCol w:w="1180"/>
            </w:tblGrid>
            <w:tr w:rsidR="008C3510" w:rsidRPr="008C3510" w:rsidTr="008C3510">
              <w:trPr>
                <w:trHeight w:val="300"/>
              </w:trPr>
              <w:tc>
                <w:tcPr>
                  <w:tcW w:w="8260" w:type="dxa"/>
                  <w:gridSpan w:val="7"/>
                  <w:tcBorders>
                    <w:top w:val="nil"/>
                    <w:left w:val="nil"/>
                    <w:bottom w:val="nil"/>
                    <w:right w:val="nil"/>
                  </w:tcBorders>
                  <w:shd w:val="clear" w:color="auto" w:fill="auto"/>
                  <w:noWrap/>
                  <w:vAlign w:val="bottom"/>
                  <w:hideMark/>
                </w:tcPr>
                <w:p w:rsidR="008C3510" w:rsidRPr="008C3510" w:rsidRDefault="000619FE" w:rsidP="000619FE">
                  <w:pPr>
                    <w:rPr>
                      <w:rFonts w:cs="Arial"/>
                      <w:b/>
                      <w:bCs/>
                      <w:sz w:val="22"/>
                      <w:szCs w:val="22"/>
                    </w:rPr>
                  </w:pPr>
                  <w:r>
                    <w:rPr>
                      <w:rFonts w:cs="Arial"/>
                      <w:b/>
                      <w:bCs/>
                      <w:sz w:val="22"/>
                      <w:szCs w:val="22"/>
                    </w:rPr>
                    <w:t>Eget b</w:t>
                  </w:r>
                  <w:r w:rsidR="008C3510" w:rsidRPr="008C3510">
                    <w:rPr>
                      <w:rFonts w:cs="Arial"/>
                      <w:b/>
                      <w:bCs/>
                      <w:sz w:val="22"/>
                      <w:szCs w:val="22"/>
                    </w:rPr>
                    <w:t>efolkningsgrundlag for skattefremskrivningen (folketal medio året)</w:t>
                  </w:r>
                </w:p>
              </w:tc>
              <w:tc>
                <w:tcPr>
                  <w:tcW w:w="1180" w:type="dxa"/>
                  <w:tcBorders>
                    <w:top w:val="nil"/>
                    <w:left w:val="nil"/>
                    <w:bottom w:val="nil"/>
                    <w:right w:val="nil"/>
                  </w:tcBorders>
                  <w:shd w:val="clear" w:color="auto" w:fill="auto"/>
                  <w:noWrap/>
                  <w:vAlign w:val="bottom"/>
                  <w:hideMark/>
                </w:tcPr>
                <w:p w:rsidR="008C3510" w:rsidRPr="008C3510" w:rsidRDefault="008C3510" w:rsidP="008C3510">
                  <w:pPr>
                    <w:rPr>
                      <w:rFonts w:ascii="Calibri" w:hAnsi="Calibri" w:cs="Arial"/>
                      <w:color w:val="000000"/>
                      <w:sz w:val="22"/>
                      <w:szCs w:val="22"/>
                    </w:rPr>
                  </w:pPr>
                </w:p>
              </w:tc>
            </w:tr>
            <w:tr w:rsidR="008C3510" w:rsidRPr="008C3510" w:rsidTr="000619FE">
              <w:trPr>
                <w:trHeight w:val="300"/>
              </w:trPr>
              <w:tc>
                <w:tcPr>
                  <w:tcW w:w="1221" w:type="dxa"/>
                  <w:tcBorders>
                    <w:top w:val="single" w:sz="4" w:space="0" w:color="auto"/>
                    <w:left w:val="single" w:sz="4" w:space="0" w:color="auto"/>
                    <w:bottom w:val="nil"/>
                    <w:right w:val="nil"/>
                  </w:tcBorders>
                  <w:shd w:val="clear" w:color="000000" w:fill="333399"/>
                  <w:noWrap/>
                  <w:vAlign w:val="bottom"/>
                  <w:hideMark/>
                </w:tcPr>
                <w:p w:rsidR="008C3510" w:rsidRPr="008C3510" w:rsidRDefault="008C3510" w:rsidP="008C3510">
                  <w:pPr>
                    <w:jc w:val="center"/>
                    <w:rPr>
                      <w:rFonts w:cs="Arial"/>
                      <w:b/>
                      <w:bCs/>
                      <w:color w:val="FFFFFF"/>
                      <w:sz w:val="20"/>
                      <w:szCs w:val="20"/>
                    </w:rPr>
                  </w:pPr>
                  <w:r w:rsidRPr="008C3510">
                    <w:rPr>
                      <w:rFonts w:cs="Arial"/>
                      <w:b/>
                      <w:bCs/>
                      <w:color w:val="FFFFFF"/>
                      <w:sz w:val="20"/>
                      <w:szCs w:val="20"/>
                    </w:rPr>
                    <w:t> </w:t>
                  </w:r>
                </w:p>
              </w:tc>
              <w:tc>
                <w:tcPr>
                  <w:tcW w:w="908" w:type="dxa"/>
                  <w:tcBorders>
                    <w:top w:val="single" w:sz="4" w:space="0" w:color="auto"/>
                    <w:left w:val="nil"/>
                    <w:bottom w:val="nil"/>
                    <w:right w:val="nil"/>
                  </w:tcBorders>
                  <w:shd w:val="clear" w:color="000000" w:fill="333399"/>
                  <w:noWrap/>
                  <w:vAlign w:val="bottom"/>
                  <w:hideMark/>
                </w:tcPr>
                <w:p w:rsidR="008C3510" w:rsidRPr="008C3510" w:rsidRDefault="008C3510" w:rsidP="008C3510">
                  <w:pPr>
                    <w:jc w:val="center"/>
                    <w:rPr>
                      <w:rFonts w:cs="Arial"/>
                      <w:b/>
                      <w:bCs/>
                      <w:color w:val="FFFFFF"/>
                      <w:sz w:val="20"/>
                      <w:szCs w:val="20"/>
                    </w:rPr>
                  </w:pPr>
                  <w:r w:rsidRPr="008C3510">
                    <w:rPr>
                      <w:rFonts w:cs="Arial"/>
                      <w:b/>
                      <w:bCs/>
                      <w:color w:val="FFFFFF"/>
                      <w:sz w:val="20"/>
                      <w:szCs w:val="20"/>
                    </w:rPr>
                    <w:t>2011</w:t>
                  </w:r>
                </w:p>
              </w:tc>
              <w:tc>
                <w:tcPr>
                  <w:tcW w:w="1227" w:type="dxa"/>
                  <w:tcBorders>
                    <w:top w:val="single" w:sz="4" w:space="0" w:color="auto"/>
                    <w:left w:val="nil"/>
                    <w:bottom w:val="nil"/>
                    <w:right w:val="nil"/>
                  </w:tcBorders>
                  <w:shd w:val="clear" w:color="000000" w:fill="333399"/>
                  <w:noWrap/>
                  <w:vAlign w:val="bottom"/>
                  <w:hideMark/>
                </w:tcPr>
                <w:p w:rsidR="008C3510" w:rsidRPr="008C3510" w:rsidRDefault="008C3510" w:rsidP="008C3510">
                  <w:pPr>
                    <w:jc w:val="center"/>
                    <w:rPr>
                      <w:rFonts w:cs="Arial"/>
                      <w:b/>
                      <w:bCs/>
                      <w:color w:val="FFFFFF"/>
                      <w:sz w:val="20"/>
                      <w:szCs w:val="20"/>
                    </w:rPr>
                  </w:pPr>
                  <w:r w:rsidRPr="008C3510">
                    <w:rPr>
                      <w:rFonts w:cs="Arial"/>
                      <w:b/>
                      <w:bCs/>
                      <w:color w:val="FFFFFF"/>
                      <w:sz w:val="20"/>
                      <w:szCs w:val="20"/>
                    </w:rPr>
                    <w:t>2012</w:t>
                  </w:r>
                </w:p>
              </w:tc>
              <w:tc>
                <w:tcPr>
                  <w:tcW w:w="1226" w:type="dxa"/>
                  <w:tcBorders>
                    <w:top w:val="single" w:sz="4" w:space="0" w:color="auto"/>
                    <w:left w:val="nil"/>
                    <w:bottom w:val="nil"/>
                    <w:right w:val="nil"/>
                  </w:tcBorders>
                  <w:shd w:val="clear" w:color="000000" w:fill="333399"/>
                  <w:noWrap/>
                  <w:vAlign w:val="bottom"/>
                  <w:hideMark/>
                </w:tcPr>
                <w:p w:rsidR="008C3510" w:rsidRPr="008C3510" w:rsidRDefault="008C3510" w:rsidP="008C3510">
                  <w:pPr>
                    <w:jc w:val="center"/>
                    <w:rPr>
                      <w:rFonts w:cs="Arial"/>
                      <w:b/>
                      <w:bCs/>
                      <w:color w:val="FFFFFF"/>
                      <w:sz w:val="20"/>
                      <w:szCs w:val="20"/>
                    </w:rPr>
                  </w:pPr>
                  <w:r w:rsidRPr="008C3510">
                    <w:rPr>
                      <w:rFonts w:cs="Arial"/>
                      <w:b/>
                      <w:bCs/>
                      <w:color w:val="FFFFFF"/>
                      <w:sz w:val="20"/>
                      <w:szCs w:val="20"/>
                    </w:rPr>
                    <w:t>2013</w:t>
                  </w:r>
                </w:p>
              </w:tc>
              <w:tc>
                <w:tcPr>
                  <w:tcW w:w="1226" w:type="dxa"/>
                  <w:tcBorders>
                    <w:top w:val="single" w:sz="4" w:space="0" w:color="auto"/>
                    <w:left w:val="nil"/>
                    <w:bottom w:val="nil"/>
                    <w:right w:val="nil"/>
                  </w:tcBorders>
                  <w:shd w:val="clear" w:color="000000" w:fill="333399"/>
                  <w:noWrap/>
                  <w:vAlign w:val="bottom"/>
                  <w:hideMark/>
                </w:tcPr>
                <w:p w:rsidR="008C3510" w:rsidRPr="008C3510" w:rsidRDefault="008C3510" w:rsidP="008C3510">
                  <w:pPr>
                    <w:jc w:val="center"/>
                    <w:rPr>
                      <w:rFonts w:cs="Arial"/>
                      <w:b/>
                      <w:bCs/>
                      <w:color w:val="FFFFFF"/>
                      <w:sz w:val="20"/>
                      <w:szCs w:val="20"/>
                    </w:rPr>
                  </w:pPr>
                  <w:r w:rsidRPr="008C3510">
                    <w:rPr>
                      <w:rFonts w:cs="Arial"/>
                      <w:b/>
                      <w:bCs/>
                      <w:color w:val="FFFFFF"/>
                      <w:sz w:val="20"/>
                      <w:szCs w:val="20"/>
                    </w:rPr>
                    <w:t>2014</w:t>
                  </w:r>
                </w:p>
              </w:tc>
              <w:tc>
                <w:tcPr>
                  <w:tcW w:w="1226" w:type="dxa"/>
                  <w:tcBorders>
                    <w:top w:val="single" w:sz="4" w:space="0" w:color="auto"/>
                    <w:left w:val="nil"/>
                    <w:bottom w:val="nil"/>
                    <w:right w:val="nil"/>
                  </w:tcBorders>
                  <w:shd w:val="clear" w:color="000000" w:fill="333399"/>
                  <w:noWrap/>
                  <w:vAlign w:val="bottom"/>
                  <w:hideMark/>
                </w:tcPr>
                <w:p w:rsidR="008C3510" w:rsidRPr="008C3510" w:rsidRDefault="008C3510" w:rsidP="008C3510">
                  <w:pPr>
                    <w:jc w:val="center"/>
                    <w:rPr>
                      <w:rFonts w:cs="Arial"/>
                      <w:b/>
                      <w:bCs/>
                      <w:color w:val="FFFFFF"/>
                      <w:sz w:val="20"/>
                      <w:szCs w:val="20"/>
                    </w:rPr>
                  </w:pPr>
                  <w:r w:rsidRPr="008C3510">
                    <w:rPr>
                      <w:rFonts w:cs="Arial"/>
                      <w:b/>
                      <w:bCs/>
                      <w:color w:val="FFFFFF"/>
                      <w:sz w:val="20"/>
                      <w:szCs w:val="20"/>
                    </w:rPr>
                    <w:t>2015</w:t>
                  </w:r>
                </w:p>
              </w:tc>
              <w:tc>
                <w:tcPr>
                  <w:tcW w:w="1226" w:type="dxa"/>
                  <w:tcBorders>
                    <w:top w:val="single" w:sz="4" w:space="0" w:color="auto"/>
                    <w:left w:val="nil"/>
                    <w:bottom w:val="nil"/>
                    <w:right w:val="nil"/>
                  </w:tcBorders>
                  <w:shd w:val="clear" w:color="000000" w:fill="333399"/>
                  <w:noWrap/>
                  <w:vAlign w:val="bottom"/>
                  <w:hideMark/>
                </w:tcPr>
                <w:p w:rsidR="008C3510" w:rsidRPr="008C3510" w:rsidRDefault="008C3510" w:rsidP="008C3510">
                  <w:pPr>
                    <w:jc w:val="center"/>
                    <w:rPr>
                      <w:rFonts w:cs="Arial"/>
                      <w:b/>
                      <w:bCs/>
                      <w:color w:val="FFFFFF"/>
                      <w:sz w:val="20"/>
                      <w:szCs w:val="20"/>
                    </w:rPr>
                  </w:pPr>
                  <w:r w:rsidRPr="008C3510">
                    <w:rPr>
                      <w:rFonts w:cs="Arial"/>
                      <w:b/>
                      <w:bCs/>
                      <w:color w:val="FFFFFF"/>
                      <w:sz w:val="20"/>
                      <w:szCs w:val="20"/>
                    </w:rPr>
                    <w:t>2016</w:t>
                  </w:r>
                </w:p>
              </w:tc>
              <w:tc>
                <w:tcPr>
                  <w:tcW w:w="1180" w:type="dxa"/>
                  <w:tcBorders>
                    <w:top w:val="single" w:sz="4" w:space="0" w:color="auto"/>
                    <w:left w:val="nil"/>
                    <w:bottom w:val="nil"/>
                    <w:right w:val="single" w:sz="4" w:space="0" w:color="auto"/>
                  </w:tcBorders>
                  <w:shd w:val="clear" w:color="000000" w:fill="333399"/>
                  <w:noWrap/>
                  <w:vAlign w:val="bottom"/>
                  <w:hideMark/>
                </w:tcPr>
                <w:p w:rsidR="008C3510" w:rsidRPr="008C3510" w:rsidRDefault="008C3510" w:rsidP="008C3510">
                  <w:pPr>
                    <w:jc w:val="center"/>
                    <w:rPr>
                      <w:rFonts w:cs="Arial"/>
                      <w:b/>
                      <w:bCs/>
                      <w:color w:val="FFFFFF"/>
                      <w:sz w:val="20"/>
                      <w:szCs w:val="20"/>
                    </w:rPr>
                  </w:pPr>
                  <w:r w:rsidRPr="008C3510">
                    <w:rPr>
                      <w:rFonts w:cs="Arial"/>
                      <w:b/>
                      <w:bCs/>
                      <w:color w:val="FFFFFF"/>
                      <w:sz w:val="20"/>
                      <w:szCs w:val="20"/>
                    </w:rPr>
                    <w:t>2017</w:t>
                  </w:r>
                </w:p>
              </w:tc>
            </w:tr>
            <w:tr w:rsidR="008C3510" w:rsidRPr="008C3510" w:rsidTr="000619FE">
              <w:trPr>
                <w:trHeight w:val="300"/>
              </w:trPr>
              <w:tc>
                <w:tcPr>
                  <w:tcW w:w="1221" w:type="dxa"/>
                  <w:tcBorders>
                    <w:top w:val="nil"/>
                    <w:left w:val="single" w:sz="4" w:space="0" w:color="auto"/>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0-17 år </w:t>
                  </w:r>
                </w:p>
              </w:tc>
              <w:tc>
                <w:tcPr>
                  <w:tcW w:w="908" w:type="dxa"/>
                  <w:tcBorders>
                    <w:top w:val="nil"/>
                    <w:left w:val="nil"/>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13.118 </w:t>
                  </w:r>
                </w:p>
              </w:tc>
              <w:tc>
                <w:tcPr>
                  <w:tcW w:w="1227"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13.021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12.942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12.879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12.815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12.736 </w:t>
                  </w:r>
                </w:p>
              </w:tc>
              <w:tc>
                <w:tcPr>
                  <w:tcW w:w="1180" w:type="dxa"/>
                  <w:tcBorders>
                    <w:top w:val="nil"/>
                    <w:left w:val="nil"/>
                    <w:bottom w:val="nil"/>
                    <w:right w:val="single" w:sz="4" w:space="0" w:color="auto"/>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12.676 </w:t>
                  </w:r>
                </w:p>
              </w:tc>
            </w:tr>
            <w:tr w:rsidR="008C3510" w:rsidRPr="008C3510" w:rsidTr="000619FE">
              <w:trPr>
                <w:trHeight w:val="300"/>
              </w:trPr>
              <w:tc>
                <w:tcPr>
                  <w:tcW w:w="1221" w:type="dxa"/>
                  <w:tcBorders>
                    <w:top w:val="nil"/>
                    <w:left w:val="single" w:sz="4" w:space="0" w:color="auto"/>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18-25 år </w:t>
                  </w:r>
                </w:p>
              </w:tc>
              <w:tc>
                <w:tcPr>
                  <w:tcW w:w="908" w:type="dxa"/>
                  <w:tcBorders>
                    <w:top w:val="nil"/>
                    <w:left w:val="nil"/>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5.626 </w:t>
                  </w:r>
                </w:p>
              </w:tc>
              <w:tc>
                <w:tcPr>
                  <w:tcW w:w="1227"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5.677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5.743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5.684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5.663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5.620 </w:t>
                  </w:r>
                </w:p>
              </w:tc>
              <w:tc>
                <w:tcPr>
                  <w:tcW w:w="1180" w:type="dxa"/>
                  <w:tcBorders>
                    <w:top w:val="nil"/>
                    <w:left w:val="nil"/>
                    <w:bottom w:val="nil"/>
                    <w:right w:val="single" w:sz="4" w:space="0" w:color="auto"/>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5.598 </w:t>
                  </w:r>
                </w:p>
              </w:tc>
            </w:tr>
            <w:tr w:rsidR="008C3510" w:rsidRPr="008C3510" w:rsidTr="000619FE">
              <w:trPr>
                <w:trHeight w:val="300"/>
              </w:trPr>
              <w:tc>
                <w:tcPr>
                  <w:tcW w:w="1221" w:type="dxa"/>
                  <w:tcBorders>
                    <w:top w:val="nil"/>
                    <w:left w:val="single" w:sz="4" w:space="0" w:color="auto"/>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26-40 år </w:t>
                  </w:r>
                </w:p>
              </w:tc>
              <w:tc>
                <w:tcPr>
                  <w:tcW w:w="908" w:type="dxa"/>
                  <w:tcBorders>
                    <w:top w:val="nil"/>
                    <w:left w:val="nil"/>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10.233 </w:t>
                  </w:r>
                </w:p>
              </w:tc>
              <w:tc>
                <w:tcPr>
                  <w:tcW w:w="1227"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10.102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10.043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9.943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9.872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9.847 </w:t>
                  </w:r>
                </w:p>
              </w:tc>
              <w:tc>
                <w:tcPr>
                  <w:tcW w:w="1180" w:type="dxa"/>
                  <w:tcBorders>
                    <w:top w:val="nil"/>
                    <w:left w:val="nil"/>
                    <w:bottom w:val="nil"/>
                    <w:right w:val="single" w:sz="4" w:space="0" w:color="auto"/>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9.758 </w:t>
                  </w:r>
                </w:p>
              </w:tc>
            </w:tr>
            <w:tr w:rsidR="008C3510" w:rsidRPr="008C3510" w:rsidTr="000619FE">
              <w:trPr>
                <w:trHeight w:val="300"/>
              </w:trPr>
              <w:tc>
                <w:tcPr>
                  <w:tcW w:w="1221" w:type="dxa"/>
                  <w:tcBorders>
                    <w:top w:val="nil"/>
                    <w:left w:val="single" w:sz="4" w:space="0" w:color="auto"/>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41-60 år </w:t>
                  </w:r>
                </w:p>
              </w:tc>
              <w:tc>
                <w:tcPr>
                  <w:tcW w:w="908" w:type="dxa"/>
                  <w:tcBorders>
                    <w:top w:val="nil"/>
                    <w:left w:val="nil"/>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15.559 </w:t>
                  </w:r>
                </w:p>
              </w:tc>
              <w:tc>
                <w:tcPr>
                  <w:tcW w:w="1227"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15.513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15.512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15.474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15.419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15.384 </w:t>
                  </w:r>
                </w:p>
              </w:tc>
              <w:tc>
                <w:tcPr>
                  <w:tcW w:w="1180" w:type="dxa"/>
                  <w:tcBorders>
                    <w:top w:val="nil"/>
                    <w:left w:val="nil"/>
                    <w:bottom w:val="nil"/>
                    <w:right w:val="single" w:sz="4" w:space="0" w:color="auto"/>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15.392 </w:t>
                  </w:r>
                </w:p>
              </w:tc>
            </w:tr>
            <w:tr w:rsidR="008C3510" w:rsidRPr="008C3510" w:rsidTr="000619FE">
              <w:trPr>
                <w:trHeight w:val="300"/>
              </w:trPr>
              <w:tc>
                <w:tcPr>
                  <w:tcW w:w="1221" w:type="dxa"/>
                  <w:tcBorders>
                    <w:top w:val="nil"/>
                    <w:left w:val="single" w:sz="4" w:space="0" w:color="auto"/>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60+ år 1) </w:t>
                  </w:r>
                </w:p>
              </w:tc>
              <w:tc>
                <w:tcPr>
                  <w:tcW w:w="908" w:type="dxa"/>
                  <w:tcBorders>
                    <w:top w:val="nil"/>
                    <w:left w:val="nil"/>
                    <w:bottom w:val="nil"/>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12.622 </w:t>
                  </w:r>
                </w:p>
              </w:tc>
              <w:tc>
                <w:tcPr>
                  <w:tcW w:w="1227"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12.892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13.015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13.324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13.625 </w:t>
                  </w:r>
                </w:p>
              </w:tc>
              <w:tc>
                <w:tcPr>
                  <w:tcW w:w="1226" w:type="dxa"/>
                  <w:tcBorders>
                    <w:top w:val="nil"/>
                    <w:left w:val="nil"/>
                    <w:bottom w:val="nil"/>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13.868 </w:t>
                  </w:r>
                </w:p>
              </w:tc>
              <w:tc>
                <w:tcPr>
                  <w:tcW w:w="1180" w:type="dxa"/>
                  <w:tcBorders>
                    <w:top w:val="nil"/>
                    <w:left w:val="nil"/>
                    <w:bottom w:val="nil"/>
                    <w:right w:val="single" w:sz="4" w:space="0" w:color="auto"/>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14.110 </w:t>
                  </w:r>
                </w:p>
              </w:tc>
            </w:tr>
            <w:tr w:rsidR="008C3510" w:rsidRPr="008C3510" w:rsidTr="000619FE">
              <w:trPr>
                <w:trHeight w:val="300"/>
              </w:trPr>
              <w:tc>
                <w:tcPr>
                  <w:tcW w:w="1221" w:type="dxa"/>
                  <w:tcBorders>
                    <w:top w:val="single" w:sz="4" w:space="0" w:color="auto"/>
                    <w:left w:val="single" w:sz="4" w:space="0" w:color="auto"/>
                    <w:bottom w:val="single" w:sz="4" w:space="0" w:color="auto"/>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Alder i alt </w:t>
                  </w:r>
                </w:p>
              </w:tc>
              <w:tc>
                <w:tcPr>
                  <w:tcW w:w="908" w:type="dxa"/>
                  <w:tcBorders>
                    <w:top w:val="single" w:sz="4" w:space="0" w:color="auto"/>
                    <w:left w:val="nil"/>
                    <w:bottom w:val="single" w:sz="4" w:space="0" w:color="auto"/>
                    <w:right w:val="nil"/>
                  </w:tcBorders>
                  <w:shd w:val="clear" w:color="000000" w:fill="CCCCFF"/>
                  <w:noWrap/>
                  <w:vAlign w:val="bottom"/>
                  <w:hideMark/>
                </w:tcPr>
                <w:p w:rsidR="008C3510" w:rsidRPr="008C3510" w:rsidRDefault="008C3510" w:rsidP="008C3510">
                  <w:pPr>
                    <w:rPr>
                      <w:rFonts w:cs="Arial"/>
                      <w:color w:val="000000"/>
                      <w:sz w:val="18"/>
                      <w:szCs w:val="18"/>
                    </w:rPr>
                  </w:pPr>
                  <w:r w:rsidRPr="008C3510">
                    <w:rPr>
                      <w:rFonts w:cs="Arial"/>
                      <w:color w:val="000000"/>
                      <w:sz w:val="18"/>
                      <w:szCs w:val="18"/>
                    </w:rPr>
                    <w:t xml:space="preserve">           57.157 </w:t>
                  </w:r>
                </w:p>
              </w:tc>
              <w:tc>
                <w:tcPr>
                  <w:tcW w:w="1227" w:type="dxa"/>
                  <w:tcBorders>
                    <w:top w:val="single" w:sz="4" w:space="0" w:color="auto"/>
                    <w:left w:val="nil"/>
                    <w:bottom w:val="single" w:sz="4" w:space="0" w:color="auto"/>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57.204 </w:t>
                  </w:r>
                </w:p>
              </w:tc>
              <w:tc>
                <w:tcPr>
                  <w:tcW w:w="1226" w:type="dxa"/>
                  <w:tcBorders>
                    <w:top w:val="single" w:sz="4" w:space="0" w:color="auto"/>
                    <w:left w:val="nil"/>
                    <w:bottom w:val="single" w:sz="4" w:space="0" w:color="auto"/>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57.255 </w:t>
                  </w:r>
                </w:p>
              </w:tc>
              <w:tc>
                <w:tcPr>
                  <w:tcW w:w="1226" w:type="dxa"/>
                  <w:tcBorders>
                    <w:top w:val="single" w:sz="4" w:space="0" w:color="auto"/>
                    <w:left w:val="nil"/>
                    <w:bottom w:val="single" w:sz="4" w:space="0" w:color="auto"/>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57.304 </w:t>
                  </w:r>
                </w:p>
              </w:tc>
              <w:tc>
                <w:tcPr>
                  <w:tcW w:w="1226" w:type="dxa"/>
                  <w:tcBorders>
                    <w:top w:val="single" w:sz="4" w:space="0" w:color="auto"/>
                    <w:left w:val="nil"/>
                    <w:bottom w:val="single" w:sz="4" w:space="0" w:color="auto"/>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57.394 </w:t>
                  </w:r>
                </w:p>
              </w:tc>
              <w:tc>
                <w:tcPr>
                  <w:tcW w:w="1226" w:type="dxa"/>
                  <w:tcBorders>
                    <w:top w:val="single" w:sz="4" w:space="0" w:color="auto"/>
                    <w:left w:val="nil"/>
                    <w:bottom w:val="single" w:sz="4" w:space="0" w:color="auto"/>
                    <w:right w:val="nil"/>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57.456 </w:t>
                  </w:r>
                </w:p>
              </w:tc>
              <w:tc>
                <w:tcPr>
                  <w:tcW w:w="1180" w:type="dxa"/>
                  <w:tcBorders>
                    <w:top w:val="single" w:sz="4" w:space="0" w:color="auto"/>
                    <w:left w:val="nil"/>
                    <w:bottom w:val="single" w:sz="4" w:space="0" w:color="auto"/>
                    <w:right w:val="single" w:sz="4" w:space="0" w:color="auto"/>
                  </w:tcBorders>
                  <w:shd w:val="clear" w:color="000000" w:fill="CCCCFF"/>
                  <w:noWrap/>
                  <w:vAlign w:val="bottom"/>
                  <w:hideMark/>
                </w:tcPr>
                <w:p w:rsidR="008C3510" w:rsidRPr="008C3510" w:rsidRDefault="008C3510" w:rsidP="008C3510">
                  <w:pPr>
                    <w:jc w:val="right"/>
                    <w:rPr>
                      <w:rFonts w:cs="Arial"/>
                      <w:color w:val="000000"/>
                      <w:sz w:val="18"/>
                      <w:szCs w:val="18"/>
                    </w:rPr>
                  </w:pPr>
                  <w:r w:rsidRPr="008C3510">
                    <w:rPr>
                      <w:rFonts w:cs="Arial"/>
                      <w:color w:val="000000"/>
                      <w:sz w:val="18"/>
                      <w:szCs w:val="18"/>
                    </w:rPr>
                    <w:t xml:space="preserve">           57.535 </w:t>
                  </w:r>
                </w:p>
              </w:tc>
            </w:tr>
          </w:tbl>
          <w:p w:rsidR="008C3510" w:rsidRPr="008C3510" w:rsidRDefault="008C3510" w:rsidP="008C3510">
            <w:pPr>
              <w:rPr>
                <w:rFonts w:cs="Arial"/>
              </w:rPr>
            </w:pPr>
          </w:p>
        </w:tc>
      </w:tr>
      <w:tr w:rsidR="002B7D1F" w:rsidRPr="008C3510" w:rsidTr="000619FE">
        <w:trPr>
          <w:trHeight w:val="300"/>
        </w:trPr>
        <w:tc>
          <w:tcPr>
            <w:tcW w:w="9580" w:type="dxa"/>
            <w:gridSpan w:val="8"/>
            <w:tcBorders>
              <w:top w:val="nil"/>
              <w:left w:val="nil"/>
              <w:bottom w:val="nil"/>
              <w:right w:val="nil"/>
            </w:tcBorders>
            <w:shd w:val="clear" w:color="auto" w:fill="auto"/>
            <w:noWrap/>
            <w:vAlign w:val="bottom"/>
            <w:hideMark/>
          </w:tcPr>
          <w:p w:rsidR="002B7D1F" w:rsidRPr="008C3510" w:rsidRDefault="002B7D1F" w:rsidP="002B7D1F">
            <w:pPr>
              <w:rPr>
                <w:rFonts w:cs="Arial"/>
              </w:rPr>
            </w:pPr>
          </w:p>
        </w:tc>
      </w:tr>
    </w:tbl>
    <w:p w:rsidR="00DA3545" w:rsidRDefault="00C72E5E" w:rsidP="00E17A6F">
      <w:pPr>
        <w:jc w:val="both"/>
      </w:pPr>
      <w:r>
        <w:t xml:space="preserve">Herunder er vist en opgørelse af </w:t>
      </w:r>
      <w:r w:rsidR="00634192">
        <w:t xml:space="preserve">indtægterne ved valg </w:t>
      </w:r>
      <w:r w:rsidR="003E74CB">
        <w:t xml:space="preserve">af </w:t>
      </w:r>
      <w:r w:rsidR="00634192">
        <w:t xml:space="preserve">Statsgaranti og de skønnede indtægter ved valg af </w:t>
      </w:r>
      <w:r>
        <w:t xml:space="preserve">Selvbudgettering </w:t>
      </w:r>
      <w:r w:rsidR="000C6931">
        <w:t>ud fra 27</w:t>
      </w:r>
      <w:r w:rsidR="00634192">
        <w:t xml:space="preserve">. skattekørsel. </w:t>
      </w:r>
    </w:p>
    <w:p w:rsidR="000619FE" w:rsidRDefault="000619FE" w:rsidP="00E17A6F">
      <w:pPr>
        <w:jc w:val="both"/>
      </w:pPr>
    </w:p>
    <w:p w:rsidR="00634192" w:rsidRDefault="00634192" w:rsidP="00E17A6F">
      <w:pPr>
        <w:jc w:val="both"/>
      </w:pPr>
    </w:p>
    <w:tbl>
      <w:tblPr>
        <w:tblW w:w="6615" w:type="dxa"/>
        <w:tblInd w:w="55" w:type="dxa"/>
        <w:tblCellMar>
          <w:left w:w="70" w:type="dxa"/>
          <w:right w:w="70" w:type="dxa"/>
        </w:tblCellMar>
        <w:tblLook w:val="0000"/>
      </w:tblPr>
      <w:tblGrid>
        <w:gridCol w:w="979"/>
        <w:gridCol w:w="2516"/>
        <w:gridCol w:w="1320"/>
        <w:gridCol w:w="1800"/>
      </w:tblGrid>
      <w:tr w:rsidR="00EC68BA" w:rsidRPr="00C72E5E" w:rsidTr="00EC68BA">
        <w:trPr>
          <w:trHeight w:val="255"/>
        </w:trPr>
        <w:tc>
          <w:tcPr>
            <w:tcW w:w="979" w:type="dxa"/>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p>
        </w:tc>
        <w:tc>
          <w:tcPr>
            <w:tcW w:w="2516" w:type="dxa"/>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p>
        </w:tc>
        <w:tc>
          <w:tcPr>
            <w:tcW w:w="1320" w:type="dxa"/>
            <w:tcBorders>
              <w:top w:val="nil"/>
              <w:left w:val="nil"/>
              <w:bottom w:val="nil"/>
              <w:right w:val="nil"/>
            </w:tcBorders>
            <w:shd w:val="clear" w:color="auto" w:fill="auto"/>
            <w:noWrap/>
            <w:vAlign w:val="bottom"/>
          </w:tcPr>
          <w:p w:rsidR="00EC68BA" w:rsidRPr="00C72E5E" w:rsidRDefault="00EC68BA" w:rsidP="00C72E5E">
            <w:pPr>
              <w:rPr>
                <w:rFonts w:cs="Arial"/>
                <w:b/>
                <w:bCs/>
                <w:sz w:val="20"/>
                <w:szCs w:val="20"/>
              </w:rPr>
            </w:pPr>
            <w:r w:rsidRPr="00C72E5E">
              <w:rPr>
                <w:rFonts w:cs="Arial"/>
                <w:b/>
                <w:bCs/>
                <w:sz w:val="20"/>
                <w:szCs w:val="20"/>
              </w:rPr>
              <w:t>Statsgaranti</w:t>
            </w:r>
          </w:p>
        </w:tc>
        <w:tc>
          <w:tcPr>
            <w:tcW w:w="1800" w:type="dxa"/>
            <w:tcBorders>
              <w:top w:val="nil"/>
              <w:left w:val="nil"/>
              <w:bottom w:val="nil"/>
              <w:right w:val="nil"/>
            </w:tcBorders>
          </w:tcPr>
          <w:p w:rsidR="00EC68BA" w:rsidRPr="00C72E5E" w:rsidRDefault="00EC68BA" w:rsidP="00C72E5E">
            <w:pPr>
              <w:rPr>
                <w:rFonts w:cs="Arial"/>
                <w:b/>
                <w:bCs/>
                <w:sz w:val="20"/>
                <w:szCs w:val="20"/>
              </w:rPr>
            </w:pPr>
            <w:r w:rsidRPr="00C72E5E">
              <w:rPr>
                <w:rFonts w:cs="Arial"/>
                <w:b/>
                <w:bCs/>
                <w:sz w:val="20"/>
                <w:szCs w:val="20"/>
              </w:rPr>
              <w:t>Selvbudgettering</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Betalingskommunefolketal</w:t>
            </w:r>
          </w:p>
        </w:tc>
        <w:tc>
          <w:tcPr>
            <w:tcW w:w="1320" w:type="dxa"/>
            <w:tcBorders>
              <w:top w:val="nil"/>
              <w:left w:val="nil"/>
              <w:bottom w:val="nil"/>
              <w:right w:val="nil"/>
            </w:tcBorders>
            <w:shd w:val="clear" w:color="auto" w:fill="auto"/>
            <w:noWrap/>
            <w:vAlign w:val="bottom"/>
          </w:tcPr>
          <w:p w:rsidR="00EC68BA" w:rsidRPr="00BF76A8" w:rsidRDefault="00EC68BA" w:rsidP="00C72E5E">
            <w:pPr>
              <w:jc w:val="right"/>
              <w:rPr>
                <w:rFonts w:cs="Arial"/>
                <w:b/>
                <w:sz w:val="20"/>
                <w:szCs w:val="20"/>
              </w:rPr>
            </w:pPr>
            <w:r w:rsidRPr="00BF76A8">
              <w:rPr>
                <w:rFonts w:cs="Arial"/>
                <w:b/>
                <w:sz w:val="20"/>
                <w:szCs w:val="20"/>
              </w:rPr>
              <w:t>201</w:t>
            </w:r>
            <w:r w:rsidR="000619FE" w:rsidRPr="00BF76A8">
              <w:rPr>
                <w:rFonts w:cs="Arial"/>
                <w:b/>
                <w:sz w:val="20"/>
                <w:szCs w:val="20"/>
              </w:rPr>
              <w:t>4</w:t>
            </w:r>
          </w:p>
        </w:tc>
        <w:tc>
          <w:tcPr>
            <w:tcW w:w="1800" w:type="dxa"/>
            <w:tcBorders>
              <w:top w:val="nil"/>
              <w:left w:val="nil"/>
              <w:bottom w:val="nil"/>
              <w:right w:val="nil"/>
            </w:tcBorders>
            <w:shd w:val="clear" w:color="auto" w:fill="auto"/>
            <w:noWrap/>
            <w:vAlign w:val="bottom"/>
          </w:tcPr>
          <w:p w:rsidR="00EC68BA" w:rsidRPr="00BF76A8" w:rsidRDefault="00EC68BA" w:rsidP="00C72E5E">
            <w:pPr>
              <w:jc w:val="right"/>
              <w:rPr>
                <w:rFonts w:cs="Arial"/>
                <w:b/>
                <w:sz w:val="20"/>
                <w:szCs w:val="20"/>
              </w:rPr>
            </w:pPr>
            <w:r w:rsidRPr="00BF76A8">
              <w:rPr>
                <w:rFonts w:cs="Arial"/>
                <w:b/>
                <w:sz w:val="20"/>
                <w:szCs w:val="20"/>
              </w:rPr>
              <w:t>201</w:t>
            </w:r>
            <w:r w:rsidR="000619FE" w:rsidRPr="00BF76A8">
              <w:rPr>
                <w:rFonts w:cs="Arial"/>
                <w:b/>
                <w:sz w:val="20"/>
                <w:szCs w:val="20"/>
              </w:rPr>
              <w:t>4</w:t>
            </w:r>
          </w:p>
        </w:tc>
      </w:tr>
      <w:tr w:rsidR="00EC68BA" w:rsidRPr="00C72E5E" w:rsidTr="00EC68BA">
        <w:trPr>
          <w:trHeight w:val="255"/>
        </w:trPr>
        <w:tc>
          <w:tcPr>
            <w:tcW w:w="979" w:type="dxa"/>
            <w:tcBorders>
              <w:top w:val="nil"/>
              <w:left w:val="nil"/>
              <w:bottom w:val="nil"/>
              <w:right w:val="nil"/>
            </w:tcBorders>
            <w:shd w:val="clear" w:color="auto" w:fill="auto"/>
            <w:noWrap/>
            <w:vAlign w:val="bottom"/>
          </w:tcPr>
          <w:p w:rsidR="00EC68BA" w:rsidRPr="00C72E5E" w:rsidRDefault="00683226" w:rsidP="00C72E5E">
            <w:pPr>
              <w:rPr>
                <w:rFonts w:cs="Arial"/>
                <w:sz w:val="20"/>
                <w:szCs w:val="20"/>
              </w:rPr>
            </w:pPr>
            <w:r>
              <w:rPr>
                <w:rFonts w:cs="Arial"/>
                <w:sz w:val="20"/>
                <w:szCs w:val="20"/>
              </w:rPr>
              <w:t>I alt</w:t>
            </w:r>
          </w:p>
        </w:tc>
        <w:tc>
          <w:tcPr>
            <w:tcW w:w="2516" w:type="dxa"/>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p>
        </w:tc>
        <w:tc>
          <w:tcPr>
            <w:tcW w:w="1320" w:type="dxa"/>
            <w:tcBorders>
              <w:top w:val="nil"/>
              <w:left w:val="nil"/>
              <w:bottom w:val="nil"/>
              <w:right w:val="nil"/>
            </w:tcBorders>
            <w:shd w:val="clear" w:color="auto" w:fill="auto"/>
            <w:noWrap/>
            <w:vAlign w:val="bottom"/>
          </w:tcPr>
          <w:p w:rsidR="00EC68BA" w:rsidRPr="00C72E5E" w:rsidRDefault="00EC68BA" w:rsidP="00C72E5E">
            <w:pPr>
              <w:jc w:val="right"/>
              <w:rPr>
                <w:rFonts w:cs="Arial"/>
                <w:sz w:val="20"/>
                <w:szCs w:val="20"/>
              </w:rPr>
            </w:pPr>
            <w:r w:rsidRPr="00C72E5E">
              <w:rPr>
                <w:rFonts w:cs="Arial"/>
                <w:sz w:val="20"/>
                <w:szCs w:val="20"/>
              </w:rPr>
              <w:t>57.</w:t>
            </w:r>
            <w:r w:rsidR="000619FE">
              <w:rPr>
                <w:rFonts w:cs="Arial"/>
                <w:sz w:val="20"/>
                <w:szCs w:val="20"/>
              </w:rPr>
              <w:t>234</w:t>
            </w:r>
          </w:p>
        </w:tc>
        <w:tc>
          <w:tcPr>
            <w:tcW w:w="1800" w:type="dxa"/>
            <w:tcBorders>
              <w:top w:val="nil"/>
              <w:left w:val="nil"/>
              <w:bottom w:val="nil"/>
              <w:right w:val="nil"/>
            </w:tcBorders>
          </w:tcPr>
          <w:p w:rsidR="00EC68BA" w:rsidRPr="00C72E5E" w:rsidRDefault="00EC68BA" w:rsidP="00C72E5E">
            <w:pPr>
              <w:jc w:val="right"/>
              <w:rPr>
                <w:rFonts w:cs="Arial"/>
                <w:sz w:val="20"/>
                <w:szCs w:val="20"/>
              </w:rPr>
            </w:pPr>
            <w:r w:rsidRPr="00C72E5E">
              <w:rPr>
                <w:rFonts w:cs="Arial"/>
                <w:sz w:val="20"/>
                <w:szCs w:val="20"/>
              </w:rPr>
              <w:t>57</w:t>
            </w:r>
            <w:r>
              <w:rPr>
                <w:rFonts w:cs="Arial"/>
                <w:sz w:val="20"/>
                <w:szCs w:val="20"/>
              </w:rPr>
              <w:t>.30</w:t>
            </w:r>
            <w:r w:rsidR="000619FE">
              <w:rPr>
                <w:rFonts w:cs="Arial"/>
                <w:sz w:val="20"/>
                <w:szCs w:val="20"/>
              </w:rPr>
              <w:t>4</w:t>
            </w:r>
          </w:p>
        </w:tc>
      </w:tr>
      <w:tr w:rsidR="00EC68BA" w:rsidRPr="00C72E5E" w:rsidTr="00EC68BA">
        <w:trPr>
          <w:trHeight w:val="255"/>
        </w:trPr>
        <w:tc>
          <w:tcPr>
            <w:tcW w:w="979" w:type="dxa"/>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p>
        </w:tc>
        <w:tc>
          <w:tcPr>
            <w:tcW w:w="2516" w:type="dxa"/>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p>
        </w:tc>
        <w:tc>
          <w:tcPr>
            <w:tcW w:w="1320" w:type="dxa"/>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p>
        </w:tc>
        <w:tc>
          <w:tcPr>
            <w:tcW w:w="1800" w:type="dxa"/>
            <w:tcBorders>
              <w:top w:val="nil"/>
              <w:left w:val="nil"/>
              <w:bottom w:val="nil"/>
              <w:right w:val="nil"/>
            </w:tcBorders>
          </w:tcPr>
          <w:p w:rsidR="00EC68BA" w:rsidRPr="00C72E5E" w:rsidRDefault="00EC68BA" w:rsidP="00C72E5E">
            <w:pPr>
              <w:rPr>
                <w:rFonts w:cs="Arial"/>
                <w:sz w:val="20"/>
                <w:szCs w:val="20"/>
              </w:rPr>
            </w:pP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 xml:space="preserve">Udskrivningsgrundlag i 1.000 kr. </w:t>
            </w:r>
          </w:p>
        </w:tc>
        <w:tc>
          <w:tcPr>
            <w:tcW w:w="1320" w:type="dxa"/>
            <w:tcBorders>
              <w:top w:val="nil"/>
              <w:left w:val="nil"/>
              <w:bottom w:val="nil"/>
              <w:right w:val="nil"/>
            </w:tcBorders>
            <w:shd w:val="clear" w:color="auto" w:fill="auto"/>
            <w:noWrap/>
            <w:vAlign w:val="bottom"/>
          </w:tcPr>
          <w:p w:rsidR="00EC68BA" w:rsidRPr="00C72E5E" w:rsidRDefault="00BF76A8" w:rsidP="00C72E5E">
            <w:pPr>
              <w:jc w:val="right"/>
              <w:rPr>
                <w:rFonts w:cs="Arial"/>
                <w:sz w:val="20"/>
                <w:szCs w:val="20"/>
              </w:rPr>
            </w:pPr>
            <w:r>
              <w:rPr>
                <w:rFonts w:cs="Arial"/>
                <w:sz w:val="20"/>
                <w:szCs w:val="20"/>
              </w:rPr>
              <w:t>8.504.134</w:t>
            </w:r>
          </w:p>
        </w:tc>
        <w:tc>
          <w:tcPr>
            <w:tcW w:w="1800" w:type="dxa"/>
            <w:tcBorders>
              <w:top w:val="nil"/>
              <w:left w:val="nil"/>
              <w:bottom w:val="nil"/>
              <w:right w:val="nil"/>
            </w:tcBorders>
            <w:shd w:val="clear" w:color="auto" w:fill="auto"/>
            <w:noWrap/>
            <w:vAlign w:val="bottom"/>
          </w:tcPr>
          <w:p w:rsidR="00EC68BA" w:rsidRPr="00C72E5E" w:rsidRDefault="004749F1" w:rsidP="004749F1">
            <w:pPr>
              <w:jc w:val="right"/>
              <w:rPr>
                <w:rFonts w:cs="Arial"/>
                <w:sz w:val="20"/>
                <w:szCs w:val="20"/>
              </w:rPr>
            </w:pPr>
            <w:r>
              <w:rPr>
                <w:rFonts w:cs="Arial"/>
                <w:sz w:val="20"/>
                <w:szCs w:val="20"/>
              </w:rPr>
              <w:t>8.</w:t>
            </w:r>
            <w:r w:rsidR="00DF5EE6">
              <w:rPr>
                <w:rFonts w:cs="Arial"/>
                <w:sz w:val="20"/>
                <w:szCs w:val="20"/>
              </w:rPr>
              <w:t>891.245</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 xml:space="preserve">Skatteprocent </w:t>
            </w:r>
          </w:p>
        </w:tc>
        <w:tc>
          <w:tcPr>
            <w:tcW w:w="1320" w:type="dxa"/>
            <w:tcBorders>
              <w:top w:val="nil"/>
              <w:left w:val="nil"/>
              <w:bottom w:val="nil"/>
              <w:right w:val="nil"/>
            </w:tcBorders>
            <w:shd w:val="clear" w:color="auto" w:fill="auto"/>
            <w:noWrap/>
            <w:vAlign w:val="bottom"/>
          </w:tcPr>
          <w:p w:rsidR="00EC68BA" w:rsidRPr="00C72E5E" w:rsidRDefault="00EC68BA" w:rsidP="00C72E5E">
            <w:pPr>
              <w:jc w:val="right"/>
              <w:rPr>
                <w:rFonts w:cs="Arial"/>
                <w:sz w:val="20"/>
                <w:szCs w:val="20"/>
              </w:rPr>
            </w:pPr>
            <w:r w:rsidRPr="00C72E5E">
              <w:rPr>
                <w:rFonts w:cs="Arial"/>
                <w:sz w:val="20"/>
                <w:szCs w:val="20"/>
              </w:rPr>
              <w:t>25,3</w:t>
            </w:r>
          </w:p>
        </w:tc>
        <w:tc>
          <w:tcPr>
            <w:tcW w:w="1800" w:type="dxa"/>
            <w:tcBorders>
              <w:top w:val="nil"/>
              <w:left w:val="nil"/>
              <w:bottom w:val="nil"/>
              <w:right w:val="nil"/>
            </w:tcBorders>
            <w:shd w:val="clear" w:color="auto" w:fill="auto"/>
            <w:noWrap/>
            <w:vAlign w:val="bottom"/>
          </w:tcPr>
          <w:p w:rsidR="00EC68BA" w:rsidRPr="00C72E5E" w:rsidRDefault="00EC68BA" w:rsidP="00C72E5E">
            <w:pPr>
              <w:jc w:val="right"/>
              <w:rPr>
                <w:rFonts w:cs="Arial"/>
                <w:sz w:val="20"/>
                <w:szCs w:val="20"/>
              </w:rPr>
            </w:pPr>
            <w:r w:rsidRPr="00C72E5E">
              <w:rPr>
                <w:rFonts w:cs="Arial"/>
                <w:sz w:val="20"/>
                <w:szCs w:val="20"/>
              </w:rPr>
              <w:t>25,3</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 xml:space="preserve">Skatteprovenu </w:t>
            </w:r>
          </w:p>
        </w:tc>
        <w:tc>
          <w:tcPr>
            <w:tcW w:w="1320" w:type="dxa"/>
            <w:tcBorders>
              <w:top w:val="nil"/>
              <w:left w:val="nil"/>
              <w:bottom w:val="nil"/>
              <w:right w:val="nil"/>
            </w:tcBorders>
            <w:shd w:val="clear" w:color="auto" w:fill="auto"/>
            <w:noWrap/>
            <w:vAlign w:val="bottom"/>
          </w:tcPr>
          <w:p w:rsidR="00EC68BA" w:rsidRPr="00C72E5E" w:rsidRDefault="00BF76A8" w:rsidP="00C72E5E">
            <w:pPr>
              <w:jc w:val="right"/>
              <w:rPr>
                <w:rFonts w:cs="Arial"/>
                <w:sz w:val="20"/>
                <w:szCs w:val="20"/>
              </w:rPr>
            </w:pPr>
            <w:r>
              <w:rPr>
                <w:rFonts w:cs="Arial"/>
                <w:sz w:val="20"/>
                <w:szCs w:val="20"/>
              </w:rPr>
              <w:t>2.151.546</w:t>
            </w:r>
          </w:p>
        </w:tc>
        <w:tc>
          <w:tcPr>
            <w:tcW w:w="1800" w:type="dxa"/>
            <w:tcBorders>
              <w:top w:val="nil"/>
              <w:left w:val="nil"/>
              <w:bottom w:val="nil"/>
              <w:right w:val="nil"/>
            </w:tcBorders>
            <w:shd w:val="clear" w:color="auto" w:fill="auto"/>
            <w:noWrap/>
            <w:vAlign w:val="bottom"/>
          </w:tcPr>
          <w:p w:rsidR="00EC68BA" w:rsidRPr="00C72E5E" w:rsidRDefault="004749F1" w:rsidP="004749F1">
            <w:pPr>
              <w:jc w:val="right"/>
              <w:rPr>
                <w:rFonts w:cs="Arial"/>
                <w:sz w:val="20"/>
                <w:szCs w:val="20"/>
              </w:rPr>
            </w:pPr>
            <w:r>
              <w:rPr>
                <w:rFonts w:cs="Arial"/>
                <w:sz w:val="20"/>
                <w:szCs w:val="20"/>
              </w:rPr>
              <w:t>2.1</w:t>
            </w:r>
            <w:r w:rsidR="00DF5EE6">
              <w:rPr>
                <w:rFonts w:cs="Arial"/>
                <w:sz w:val="20"/>
                <w:szCs w:val="20"/>
              </w:rPr>
              <w:t>73.585</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Medfinansiering af skrå skatteloft</w:t>
            </w:r>
          </w:p>
        </w:tc>
        <w:tc>
          <w:tcPr>
            <w:tcW w:w="1320" w:type="dxa"/>
            <w:tcBorders>
              <w:top w:val="nil"/>
              <w:left w:val="nil"/>
              <w:bottom w:val="nil"/>
              <w:right w:val="nil"/>
            </w:tcBorders>
            <w:shd w:val="clear" w:color="auto" w:fill="auto"/>
            <w:noWrap/>
            <w:vAlign w:val="bottom"/>
          </w:tcPr>
          <w:p w:rsidR="00EC68BA" w:rsidRPr="00C72E5E" w:rsidRDefault="00EC68BA" w:rsidP="00C72E5E">
            <w:pPr>
              <w:jc w:val="right"/>
              <w:rPr>
                <w:rFonts w:cs="Arial"/>
                <w:sz w:val="20"/>
                <w:szCs w:val="20"/>
              </w:rPr>
            </w:pPr>
            <w:r w:rsidRPr="00C72E5E">
              <w:rPr>
                <w:rFonts w:cs="Arial"/>
                <w:sz w:val="20"/>
                <w:szCs w:val="20"/>
              </w:rPr>
              <w:t>-</w:t>
            </w:r>
            <w:r w:rsidR="00085DCB">
              <w:rPr>
                <w:rFonts w:cs="Arial"/>
                <w:sz w:val="20"/>
                <w:szCs w:val="20"/>
              </w:rPr>
              <w:t>1.</w:t>
            </w:r>
            <w:r w:rsidR="00BF76A8">
              <w:rPr>
                <w:rFonts w:cs="Arial"/>
                <w:sz w:val="20"/>
                <w:szCs w:val="20"/>
              </w:rPr>
              <w:t>792</w:t>
            </w:r>
          </w:p>
        </w:tc>
        <w:tc>
          <w:tcPr>
            <w:tcW w:w="180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-1.</w:t>
            </w:r>
            <w:r w:rsidR="00BF76A8">
              <w:rPr>
                <w:rFonts w:cs="Arial"/>
                <w:sz w:val="20"/>
                <w:szCs w:val="20"/>
              </w:rPr>
              <w:t>792</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Dækningsafgift</w:t>
            </w:r>
          </w:p>
        </w:tc>
        <w:tc>
          <w:tcPr>
            <w:tcW w:w="1320" w:type="dxa"/>
            <w:tcBorders>
              <w:top w:val="nil"/>
              <w:left w:val="nil"/>
              <w:bottom w:val="nil"/>
              <w:right w:val="nil"/>
            </w:tcBorders>
            <w:shd w:val="clear" w:color="auto" w:fill="auto"/>
            <w:noWrap/>
            <w:vAlign w:val="bottom"/>
          </w:tcPr>
          <w:p w:rsidR="00085DCB" w:rsidRPr="00C72E5E" w:rsidRDefault="00085DCB" w:rsidP="00085DCB">
            <w:pPr>
              <w:jc w:val="right"/>
              <w:rPr>
                <w:rFonts w:cs="Arial"/>
                <w:sz w:val="20"/>
                <w:szCs w:val="20"/>
              </w:rPr>
            </w:pPr>
            <w:r>
              <w:rPr>
                <w:rFonts w:cs="Arial"/>
                <w:sz w:val="20"/>
                <w:szCs w:val="20"/>
              </w:rPr>
              <w:t>6.</w:t>
            </w:r>
            <w:r w:rsidR="00BF76A8">
              <w:rPr>
                <w:rFonts w:cs="Arial"/>
                <w:sz w:val="20"/>
                <w:szCs w:val="20"/>
              </w:rPr>
              <w:t>341</w:t>
            </w:r>
          </w:p>
        </w:tc>
        <w:tc>
          <w:tcPr>
            <w:tcW w:w="180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6.3</w:t>
            </w:r>
            <w:r w:rsidR="00BF76A8">
              <w:rPr>
                <w:rFonts w:cs="Arial"/>
                <w:sz w:val="20"/>
                <w:szCs w:val="20"/>
              </w:rPr>
              <w:t>41</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 xml:space="preserve">Selskabsskat  </w:t>
            </w:r>
          </w:p>
        </w:tc>
        <w:tc>
          <w:tcPr>
            <w:tcW w:w="1320" w:type="dxa"/>
            <w:tcBorders>
              <w:top w:val="nil"/>
              <w:left w:val="nil"/>
              <w:bottom w:val="nil"/>
              <w:right w:val="nil"/>
            </w:tcBorders>
            <w:shd w:val="clear" w:color="auto" w:fill="auto"/>
            <w:noWrap/>
            <w:vAlign w:val="bottom"/>
          </w:tcPr>
          <w:p w:rsidR="00EC68BA" w:rsidRPr="00C72E5E" w:rsidRDefault="00BF76A8" w:rsidP="00C72E5E">
            <w:pPr>
              <w:jc w:val="right"/>
              <w:rPr>
                <w:rFonts w:cs="Arial"/>
                <w:sz w:val="20"/>
                <w:szCs w:val="20"/>
              </w:rPr>
            </w:pPr>
            <w:r>
              <w:rPr>
                <w:rFonts w:cs="Arial"/>
                <w:sz w:val="20"/>
                <w:szCs w:val="20"/>
              </w:rPr>
              <w:t>19.333</w:t>
            </w:r>
          </w:p>
        </w:tc>
        <w:tc>
          <w:tcPr>
            <w:tcW w:w="1800" w:type="dxa"/>
            <w:tcBorders>
              <w:top w:val="nil"/>
              <w:left w:val="nil"/>
              <w:bottom w:val="nil"/>
              <w:right w:val="nil"/>
            </w:tcBorders>
            <w:shd w:val="clear" w:color="auto" w:fill="auto"/>
            <w:noWrap/>
            <w:vAlign w:val="bottom"/>
          </w:tcPr>
          <w:p w:rsidR="00EC68BA" w:rsidRPr="00C72E5E" w:rsidRDefault="00BF76A8" w:rsidP="00C72E5E">
            <w:pPr>
              <w:jc w:val="right"/>
              <w:rPr>
                <w:rFonts w:cs="Arial"/>
                <w:sz w:val="20"/>
                <w:szCs w:val="20"/>
              </w:rPr>
            </w:pPr>
            <w:r>
              <w:rPr>
                <w:rFonts w:cs="Arial"/>
                <w:sz w:val="20"/>
                <w:szCs w:val="20"/>
              </w:rPr>
              <w:t>19.333</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 xml:space="preserve">Grundskyld  </w:t>
            </w:r>
          </w:p>
        </w:tc>
        <w:tc>
          <w:tcPr>
            <w:tcW w:w="132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1</w:t>
            </w:r>
            <w:r w:rsidR="00BF76A8">
              <w:rPr>
                <w:rFonts w:cs="Arial"/>
                <w:sz w:val="20"/>
                <w:szCs w:val="20"/>
              </w:rPr>
              <w:t>51.911</w:t>
            </w:r>
          </w:p>
        </w:tc>
        <w:tc>
          <w:tcPr>
            <w:tcW w:w="180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1</w:t>
            </w:r>
            <w:r w:rsidR="00BF76A8">
              <w:rPr>
                <w:rFonts w:cs="Arial"/>
                <w:sz w:val="20"/>
                <w:szCs w:val="20"/>
              </w:rPr>
              <w:t>51.911</w:t>
            </w:r>
          </w:p>
        </w:tc>
      </w:tr>
      <w:tr w:rsidR="00AF3451" w:rsidRPr="00C72E5E" w:rsidTr="00EC68BA">
        <w:trPr>
          <w:trHeight w:val="255"/>
        </w:trPr>
        <w:tc>
          <w:tcPr>
            <w:tcW w:w="3495" w:type="dxa"/>
            <w:gridSpan w:val="2"/>
            <w:tcBorders>
              <w:top w:val="nil"/>
              <w:left w:val="nil"/>
              <w:bottom w:val="nil"/>
              <w:right w:val="nil"/>
            </w:tcBorders>
            <w:shd w:val="clear" w:color="auto" w:fill="auto"/>
            <w:noWrap/>
            <w:vAlign w:val="bottom"/>
          </w:tcPr>
          <w:p w:rsidR="00AF3451" w:rsidRPr="00C72E5E" w:rsidRDefault="00AF3451" w:rsidP="00C72E5E">
            <w:pPr>
              <w:rPr>
                <w:rFonts w:cs="Arial"/>
                <w:sz w:val="20"/>
                <w:szCs w:val="20"/>
              </w:rPr>
            </w:pPr>
            <w:r>
              <w:rPr>
                <w:rFonts w:cs="Arial"/>
                <w:sz w:val="20"/>
                <w:szCs w:val="20"/>
              </w:rPr>
              <w:t>Anden stat pålignet visse indkomster</w:t>
            </w:r>
          </w:p>
        </w:tc>
        <w:tc>
          <w:tcPr>
            <w:tcW w:w="1320" w:type="dxa"/>
            <w:tcBorders>
              <w:top w:val="nil"/>
              <w:left w:val="nil"/>
              <w:bottom w:val="nil"/>
              <w:right w:val="nil"/>
            </w:tcBorders>
            <w:shd w:val="clear" w:color="auto" w:fill="auto"/>
            <w:noWrap/>
            <w:vAlign w:val="bottom"/>
          </w:tcPr>
          <w:p w:rsidR="00AF3451" w:rsidRDefault="00BF76A8" w:rsidP="00C72E5E">
            <w:pPr>
              <w:jc w:val="right"/>
              <w:rPr>
                <w:rFonts w:cs="Arial"/>
                <w:sz w:val="20"/>
                <w:szCs w:val="20"/>
              </w:rPr>
            </w:pPr>
            <w:r>
              <w:rPr>
                <w:rFonts w:cs="Arial"/>
                <w:sz w:val="20"/>
                <w:szCs w:val="20"/>
              </w:rPr>
              <w:t>500</w:t>
            </w:r>
          </w:p>
        </w:tc>
        <w:tc>
          <w:tcPr>
            <w:tcW w:w="1800" w:type="dxa"/>
            <w:tcBorders>
              <w:top w:val="nil"/>
              <w:left w:val="nil"/>
              <w:bottom w:val="nil"/>
              <w:right w:val="nil"/>
            </w:tcBorders>
            <w:shd w:val="clear" w:color="auto" w:fill="auto"/>
            <w:noWrap/>
            <w:vAlign w:val="bottom"/>
          </w:tcPr>
          <w:p w:rsidR="00AF3451" w:rsidRDefault="00BF76A8" w:rsidP="003770BB">
            <w:pPr>
              <w:jc w:val="right"/>
              <w:rPr>
                <w:rFonts w:cs="Arial"/>
                <w:sz w:val="20"/>
                <w:szCs w:val="20"/>
              </w:rPr>
            </w:pPr>
            <w:r>
              <w:rPr>
                <w:rFonts w:cs="Arial"/>
                <w:sz w:val="20"/>
                <w:szCs w:val="20"/>
              </w:rPr>
              <w:t>500</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 xml:space="preserve">Tilskud og udligning </w:t>
            </w:r>
          </w:p>
        </w:tc>
        <w:tc>
          <w:tcPr>
            <w:tcW w:w="132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8</w:t>
            </w:r>
            <w:r w:rsidR="00BF76A8">
              <w:rPr>
                <w:rFonts w:cs="Arial"/>
                <w:sz w:val="20"/>
                <w:szCs w:val="20"/>
              </w:rPr>
              <w:t>21.340</w:t>
            </w:r>
          </w:p>
        </w:tc>
        <w:tc>
          <w:tcPr>
            <w:tcW w:w="1800" w:type="dxa"/>
            <w:tcBorders>
              <w:top w:val="nil"/>
              <w:left w:val="nil"/>
              <w:bottom w:val="nil"/>
              <w:right w:val="nil"/>
            </w:tcBorders>
            <w:shd w:val="clear" w:color="auto" w:fill="auto"/>
            <w:noWrap/>
            <w:vAlign w:val="bottom"/>
          </w:tcPr>
          <w:p w:rsidR="00EC68BA" w:rsidRPr="00C72E5E" w:rsidRDefault="000C6931" w:rsidP="008C00DF">
            <w:pPr>
              <w:jc w:val="right"/>
              <w:rPr>
                <w:rFonts w:cs="Arial"/>
                <w:sz w:val="20"/>
                <w:szCs w:val="20"/>
              </w:rPr>
            </w:pPr>
            <w:r>
              <w:rPr>
                <w:rFonts w:cs="Arial"/>
                <w:sz w:val="20"/>
                <w:szCs w:val="20"/>
              </w:rPr>
              <w:t>802.408</w:t>
            </w:r>
          </w:p>
        </w:tc>
      </w:tr>
      <w:tr w:rsidR="000C6931" w:rsidRPr="00C72E5E" w:rsidTr="00EC68BA">
        <w:trPr>
          <w:trHeight w:val="255"/>
        </w:trPr>
        <w:tc>
          <w:tcPr>
            <w:tcW w:w="3495" w:type="dxa"/>
            <w:gridSpan w:val="2"/>
            <w:tcBorders>
              <w:top w:val="nil"/>
              <w:left w:val="nil"/>
              <w:bottom w:val="nil"/>
              <w:right w:val="nil"/>
            </w:tcBorders>
            <w:shd w:val="clear" w:color="auto" w:fill="auto"/>
            <w:noWrap/>
            <w:vAlign w:val="bottom"/>
          </w:tcPr>
          <w:p w:rsidR="000C6931" w:rsidRPr="00C72E5E" w:rsidRDefault="000C6931" w:rsidP="00C72E5E">
            <w:pPr>
              <w:rPr>
                <w:rFonts w:cs="Arial"/>
                <w:sz w:val="20"/>
                <w:szCs w:val="20"/>
              </w:rPr>
            </w:pPr>
            <w:r>
              <w:rPr>
                <w:rFonts w:cs="Arial"/>
                <w:sz w:val="20"/>
                <w:szCs w:val="20"/>
              </w:rPr>
              <w:t>Omstilling Folkeskolen</w:t>
            </w:r>
          </w:p>
        </w:tc>
        <w:tc>
          <w:tcPr>
            <w:tcW w:w="1320" w:type="dxa"/>
            <w:tcBorders>
              <w:top w:val="nil"/>
              <w:left w:val="nil"/>
              <w:bottom w:val="nil"/>
              <w:right w:val="nil"/>
            </w:tcBorders>
            <w:shd w:val="clear" w:color="auto" w:fill="auto"/>
            <w:noWrap/>
            <w:vAlign w:val="bottom"/>
          </w:tcPr>
          <w:p w:rsidR="000C6931" w:rsidRDefault="000C6931" w:rsidP="00C72E5E">
            <w:pPr>
              <w:jc w:val="right"/>
              <w:rPr>
                <w:rFonts w:cs="Arial"/>
                <w:sz w:val="20"/>
                <w:szCs w:val="20"/>
              </w:rPr>
            </w:pPr>
            <w:r>
              <w:rPr>
                <w:rFonts w:cs="Arial"/>
                <w:sz w:val="20"/>
                <w:szCs w:val="20"/>
              </w:rPr>
              <w:t>5.304</w:t>
            </w:r>
          </w:p>
        </w:tc>
        <w:tc>
          <w:tcPr>
            <w:tcW w:w="1800" w:type="dxa"/>
            <w:tcBorders>
              <w:top w:val="nil"/>
              <w:left w:val="nil"/>
              <w:bottom w:val="nil"/>
              <w:right w:val="nil"/>
            </w:tcBorders>
            <w:shd w:val="clear" w:color="auto" w:fill="auto"/>
            <w:noWrap/>
            <w:vAlign w:val="bottom"/>
          </w:tcPr>
          <w:p w:rsidR="000C6931" w:rsidRDefault="000C6931" w:rsidP="008C00DF">
            <w:pPr>
              <w:jc w:val="right"/>
              <w:rPr>
                <w:rFonts w:cs="Arial"/>
                <w:sz w:val="20"/>
                <w:szCs w:val="20"/>
              </w:rPr>
            </w:pPr>
            <w:r>
              <w:rPr>
                <w:rFonts w:cs="Arial"/>
                <w:sz w:val="20"/>
                <w:szCs w:val="20"/>
              </w:rPr>
              <w:t>5.304</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Beskæftigelsestilskud</w:t>
            </w:r>
          </w:p>
        </w:tc>
        <w:tc>
          <w:tcPr>
            <w:tcW w:w="132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1</w:t>
            </w:r>
            <w:r w:rsidR="00BF76A8">
              <w:rPr>
                <w:rFonts w:cs="Arial"/>
                <w:sz w:val="20"/>
                <w:szCs w:val="20"/>
              </w:rPr>
              <w:t>10.724</w:t>
            </w:r>
          </w:p>
        </w:tc>
        <w:tc>
          <w:tcPr>
            <w:tcW w:w="1800" w:type="dxa"/>
            <w:tcBorders>
              <w:top w:val="nil"/>
              <w:left w:val="nil"/>
              <w:bottom w:val="nil"/>
              <w:right w:val="nil"/>
            </w:tcBorders>
            <w:shd w:val="clear" w:color="auto" w:fill="auto"/>
            <w:noWrap/>
            <w:vAlign w:val="bottom"/>
          </w:tcPr>
          <w:p w:rsidR="00EC68BA" w:rsidRPr="00C72E5E" w:rsidRDefault="00BF76A8" w:rsidP="00C72E5E">
            <w:pPr>
              <w:jc w:val="right"/>
              <w:rPr>
                <w:rFonts w:cs="Arial"/>
                <w:sz w:val="20"/>
                <w:szCs w:val="20"/>
              </w:rPr>
            </w:pPr>
            <w:r>
              <w:rPr>
                <w:rFonts w:cs="Arial"/>
                <w:sz w:val="20"/>
                <w:szCs w:val="20"/>
              </w:rPr>
              <w:t>110.724</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Efterregulering af forskudsskat</w:t>
            </w:r>
          </w:p>
        </w:tc>
        <w:tc>
          <w:tcPr>
            <w:tcW w:w="132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0</w:t>
            </w:r>
          </w:p>
        </w:tc>
        <w:tc>
          <w:tcPr>
            <w:tcW w:w="180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0</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Efterregulering af tilskud og udligning</w:t>
            </w:r>
          </w:p>
        </w:tc>
        <w:tc>
          <w:tcPr>
            <w:tcW w:w="132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0</w:t>
            </w:r>
          </w:p>
        </w:tc>
        <w:tc>
          <w:tcPr>
            <w:tcW w:w="180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0</w:t>
            </w:r>
          </w:p>
        </w:tc>
      </w:tr>
      <w:tr w:rsidR="00EC68BA" w:rsidRPr="00C72E5E" w:rsidTr="00EC68BA">
        <w:trPr>
          <w:trHeight w:val="255"/>
        </w:trPr>
        <w:tc>
          <w:tcPr>
            <w:tcW w:w="3495" w:type="dxa"/>
            <w:gridSpan w:val="2"/>
            <w:tcBorders>
              <w:top w:val="nil"/>
              <w:left w:val="nil"/>
              <w:bottom w:val="nil"/>
              <w:right w:val="nil"/>
            </w:tcBorders>
            <w:shd w:val="clear" w:color="auto" w:fill="auto"/>
            <w:noWrap/>
            <w:vAlign w:val="bottom"/>
          </w:tcPr>
          <w:p w:rsidR="00EC68BA" w:rsidRPr="00C72E5E" w:rsidRDefault="00EC68BA" w:rsidP="00C72E5E">
            <w:pPr>
              <w:rPr>
                <w:rFonts w:cs="Arial"/>
                <w:sz w:val="20"/>
                <w:szCs w:val="20"/>
              </w:rPr>
            </w:pPr>
            <w:r w:rsidRPr="00C72E5E">
              <w:rPr>
                <w:rFonts w:cs="Arial"/>
                <w:sz w:val="20"/>
                <w:szCs w:val="20"/>
              </w:rPr>
              <w:t>Bidrag til regionale udviklingsopgaver</w:t>
            </w:r>
          </w:p>
        </w:tc>
        <w:tc>
          <w:tcPr>
            <w:tcW w:w="132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-7.</w:t>
            </w:r>
            <w:r w:rsidR="00BF76A8">
              <w:rPr>
                <w:rFonts w:cs="Arial"/>
                <w:sz w:val="20"/>
                <w:szCs w:val="20"/>
              </w:rPr>
              <w:t>159</w:t>
            </w:r>
          </w:p>
        </w:tc>
        <w:tc>
          <w:tcPr>
            <w:tcW w:w="1800" w:type="dxa"/>
            <w:tcBorders>
              <w:top w:val="nil"/>
              <w:left w:val="nil"/>
              <w:bottom w:val="nil"/>
              <w:right w:val="nil"/>
            </w:tcBorders>
            <w:shd w:val="clear" w:color="auto" w:fill="auto"/>
            <w:noWrap/>
            <w:vAlign w:val="bottom"/>
          </w:tcPr>
          <w:p w:rsidR="00EC68BA" w:rsidRPr="00C72E5E" w:rsidRDefault="00085DCB" w:rsidP="00C72E5E">
            <w:pPr>
              <w:jc w:val="right"/>
              <w:rPr>
                <w:rFonts w:cs="Arial"/>
                <w:sz w:val="20"/>
                <w:szCs w:val="20"/>
              </w:rPr>
            </w:pPr>
            <w:r>
              <w:rPr>
                <w:rFonts w:cs="Arial"/>
                <w:sz w:val="20"/>
                <w:szCs w:val="20"/>
              </w:rPr>
              <w:t>-7</w:t>
            </w:r>
            <w:r w:rsidR="00BF76A8">
              <w:rPr>
                <w:rFonts w:cs="Arial"/>
                <w:sz w:val="20"/>
                <w:szCs w:val="20"/>
              </w:rPr>
              <w:t>.159</w:t>
            </w:r>
          </w:p>
        </w:tc>
      </w:tr>
      <w:tr w:rsidR="00EC68BA" w:rsidRPr="00C72E5E" w:rsidTr="00EC68BA">
        <w:trPr>
          <w:trHeight w:val="255"/>
        </w:trPr>
        <w:tc>
          <w:tcPr>
            <w:tcW w:w="979" w:type="dxa"/>
            <w:tcBorders>
              <w:top w:val="nil"/>
              <w:left w:val="nil"/>
              <w:bottom w:val="nil"/>
              <w:right w:val="nil"/>
            </w:tcBorders>
            <w:shd w:val="clear" w:color="auto" w:fill="auto"/>
            <w:noWrap/>
            <w:vAlign w:val="bottom"/>
          </w:tcPr>
          <w:p w:rsidR="00EC68BA" w:rsidRPr="00C72E5E" w:rsidRDefault="00EC68BA" w:rsidP="00C72E5E">
            <w:pPr>
              <w:rPr>
                <w:rFonts w:cs="Arial"/>
                <w:b/>
                <w:bCs/>
                <w:sz w:val="20"/>
                <w:szCs w:val="20"/>
              </w:rPr>
            </w:pPr>
            <w:r w:rsidRPr="00C72E5E">
              <w:rPr>
                <w:rFonts w:cs="Arial"/>
                <w:b/>
                <w:bCs/>
                <w:sz w:val="20"/>
                <w:szCs w:val="20"/>
              </w:rPr>
              <w:t>I alt</w:t>
            </w:r>
          </w:p>
        </w:tc>
        <w:tc>
          <w:tcPr>
            <w:tcW w:w="2516" w:type="dxa"/>
            <w:tcBorders>
              <w:top w:val="nil"/>
              <w:left w:val="nil"/>
              <w:bottom w:val="nil"/>
              <w:right w:val="nil"/>
            </w:tcBorders>
            <w:shd w:val="clear" w:color="auto" w:fill="auto"/>
            <w:noWrap/>
            <w:vAlign w:val="bottom"/>
          </w:tcPr>
          <w:p w:rsidR="00EC68BA" w:rsidRPr="00C72E5E" w:rsidRDefault="00EC68BA" w:rsidP="00C72E5E">
            <w:pPr>
              <w:rPr>
                <w:rFonts w:cs="Arial"/>
                <w:b/>
                <w:bCs/>
                <w:sz w:val="20"/>
                <w:szCs w:val="20"/>
              </w:rPr>
            </w:pPr>
          </w:p>
        </w:tc>
        <w:tc>
          <w:tcPr>
            <w:tcW w:w="1320" w:type="dxa"/>
            <w:tcBorders>
              <w:top w:val="nil"/>
              <w:left w:val="nil"/>
              <w:bottom w:val="nil"/>
              <w:right w:val="nil"/>
            </w:tcBorders>
            <w:shd w:val="clear" w:color="auto" w:fill="auto"/>
            <w:noWrap/>
            <w:vAlign w:val="bottom"/>
          </w:tcPr>
          <w:p w:rsidR="00EC68BA" w:rsidRPr="00C72E5E" w:rsidRDefault="00AF3451" w:rsidP="00C72E5E">
            <w:pPr>
              <w:jc w:val="right"/>
              <w:rPr>
                <w:rFonts w:cs="Arial"/>
                <w:b/>
                <w:bCs/>
                <w:sz w:val="20"/>
                <w:szCs w:val="20"/>
              </w:rPr>
            </w:pPr>
            <w:r>
              <w:rPr>
                <w:rFonts w:cs="Arial"/>
                <w:b/>
                <w:bCs/>
                <w:sz w:val="20"/>
                <w:szCs w:val="20"/>
              </w:rPr>
              <w:t>3.</w:t>
            </w:r>
            <w:r w:rsidR="00BF76A8">
              <w:rPr>
                <w:rFonts w:cs="Arial"/>
                <w:b/>
                <w:bCs/>
                <w:sz w:val="20"/>
                <w:szCs w:val="20"/>
              </w:rPr>
              <w:t>2</w:t>
            </w:r>
            <w:r w:rsidR="00DF5EE6">
              <w:rPr>
                <w:rFonts w:cs="Arial"/>
                <w:b/>
                <w:bCs/>
                <w:sz w:val="20"/>
                <w:szCs w:val="20"/>
              </w:rPr>
              <w:t>58</w:t>
            </w:r>
            <w:r w:rsidR="000C6931">
              <w:rPr>
                <w:rFonts w:cs="Arial"/>
                <w:b/>
                <w:bCs/>
                <w:sz w:val="20"/>
                <w:szCs w:val="20"/>
              </w:rPr>
              <w:t>.059</w:t>
            </w:r>
          </w:p>
        </w:tc>
        <w:tc>
          <w:tcPr>
            <w:tcW w:w="1800" w:type="dxa"/>
            <w:tcBorders>
              <w:top w:val="nil"/>
              <w:left w:val="nil"/>
              <w:bottom w:val="nil"/>
              <w:right w:val="nil"/>
            </w:tcBorders>
          </w:tcPr>
          <w:p w:rsidR="00EC68BA" w:rsidRPr="00A64A3E" w:rsidRDefault="00DF5EE6" w:rsidP="00DF5EE6">
            <w:pPr>
              <w:jc w:val="right"/>
              <w:rPr>
                <w:rFonts w:cs="Arial"/>
                <w:b/>
                <w:sz w:val="20"/>
                <w:szCs w:val="20"/>
              </w:rPr>
            </w:pPr>
            <w:r>
              <w:rPr>
                <w:rFonts w:cs="Arial"/>
                <w:b/>
                <w:sz w:val="20"/>
                <w:szCs w:val="20"/>
              </w:rPr>
              <w:t>3.261</w:t>
            </w:r>
            <w:r w:rsidR="008C00DF">
              <w:rPr>
                <w:rFonts w:cs="Arial"/>
                <w:b/>
                <w:sz w:val="20"/>
                <w:szCs w:val="20"/>
              </w:rPr>
              <w:t>.</w:t>
            </w:r>
            <w:r>
              <w:rPr>
                <w:rFonts w:cs="Arial"/>
                <w:b/>
                <w:sz w:val="20"/>
                <w:szCs w:val="20"/>
              </w:rPr>
              <w:t>155</w:t>
            </w:r>
          </w:p>
        </w:tc>
      </w:tr>
    </w:tbl>
    <w:p w:rsidR="00F47209" w:rsidRDefault="00F47209" w:rsidP="00E17A6F">
      <w:pPr>
        <w:jc w:val="both"/>
      </w:pPr>
    </w:p>
    <w:p w:rsidR="00113E9C" w:rsidRPr="007825F2" w:rsidRDefault="00113E9C" w:rsidP="00113E9C">
      <w:pPr>
        <w:spacing w:before="120"/>
        <w:jc w:val="both"/>
        <w:rPr>
          <w:rFonts w:cs="Arial"/>
        </w:rPr>
      </w:pPr>
      <w:r w:rsidRPr="007825F2">
        <w:rPr>
          <w:rFonts w:cs="Arial"/>
        </w:rPr>
        <w:t>I ovenstå</w:t>
      </w:r>
      <w:r w:rsidR="00FE7FC6">
        <w:rPr>
          <w:rFonts w:cs="Arial"/>
        </w:rPr>
        <w:t>ende er skatteprocenten for 2014</w:t>
      </w:r>
      <w:r w:rsidRPr="007825F2">
        <w:rPr>
          <w:rFonts w:cs="Arial"/>
        </w:rPr>
        <w:t xml:space="preserve"> sat til uændret 25,3. Grundskyl</w:t>
      </w:r>
      <w:r w:rsidRPr="007825F2">
        <w:rPr>
          <w:rFonts w:cs="Arial"/>
        </w:rPr>
        <w:t>d</w:t>
      </w:r>
      <w:r w:rsidR="00FE7FC6">
        <w:rPr>
          <w:rFonts w:cs="Arial"/>
        </w:rPr>
        <w:t>promillen er for 2014</w:t>
      </w:r>
      <w:r w:rsidRPr="007825F2">
        <w:rPr>
          <w:rFonts w:cs="Arial"/>
        </w:rPr>
        <w:t xml:space="preserve"> uændret sat til 24,12. Grundskyldspromillen for produ</w:t>
      </w:r>
      <w:r w:rsidRPr="007825F2">
        <w:rPr>
          <w:rFonts w:cs="Arial"/>
        </w:rPr>
        <w:t>k</w:t>
      </w:r>
      <w:r w:rsidRPr="007825F2">
        <w:rPr>
          <w:rFonts w:cs="Arial"/>
        </w:rPr>
        <w:t>tionsj</w:t>
      </w:r>
      <w:r w:rsidR="00FE7FC6">
        <w:rPr>
          <w:rFonts w:cs="Arial"/>
        </w:rPr>
        <w:t>ord er i 2014 sat til 7,2.</w:t>
      </w:r>
      <w:r w:rsidR="007825F2">
        <w:rPr>
          <w:rFonts w:cs="Arial"/>
        </w:rPr>
        <w:t xml:space="preserve"> </w:t>
      </w:r>
    </w:p>
    <w:p w:rsidR="00113E9C" w:rsidRDefault="00113E9C" w:rsidP="00113E9C">
      <w:pPr>
        <w:spacing w:before="120"/>
        <w:jc w:val="both"/>
        <w:rPr>
          <w:rFonts w:cs="Arial"/>
        </w:rPr>
      </w:pPr>
      <w:r w:rsidRPr="007825F2">
        <w:rPr>
          <w:rFonts w:cs="Arial"/>
        </w:rPr>
        <w:lastRenderedPageBreak/>
        <w:t>Skattepr</w:t>
      </w:r>
      <w:r w:rsidR="00A64A3E">
        <w:rPr>
          <w:rFonts w:cs="Arial"/>
        </w:rPr>
        <w:t>ov</w:t>
      </w:r>
      <w:r w:rsidR="00B64186">
        <w:rPr>
          <w:rFonts w:cs="Arial"/>
        </w:rPr>
        <w:t>enu ved selvbudgettering er 22,0</w:t>
      </w:r>
      <w:r w:rsidR="00B86396">
        <w:rPr>
          <w:rFonts w:cs="Arial"/>
        </w:rPr>
        <w:t xml:space="preserve"> mio. kr. større</w:t>
      </w:r>
      <w:r w:rsidRPr="007825F2">
        <w:rPr>
          <w:rFonts w:cs="Arial"/>
        </w:rPr>
        <w:t xml:space="preserve"> end ved valg af statsgaran</w:t>
      </w:r>
      <w:r w:rsidR="00127137">
        <w:rPr>
          <w:rFonts w:cs="Arial"/>
        </w:rPr>
        <w:t>ti. Ti</w:t>
      </w:r>
      <w:r w:rsidR="00DF5EE6">
        <w:rPr>
          <w:rFonts w:cs="Arial"/>
        </w:rPr>
        <w:t>lskud og udligning er 18,9</w:t>
      </w:r>
      <w:r w:rsidR="0015684B">
        <w:rPr>
          <w:rFonts w:cs="Arial"/>
        </w:rPr>
        <w:t xml:space="preserve"> mio. kr. mindre</w:t>
      </w:r>
      <w:r w:rsidRPr="007825F2">
        <w:rPr>
          <w:rFonts w:cs="Arial"/>
        </w:rPr>
        <w:t xml:space="preserve"> ved selvbudgettering end ved valg af statsgaranti. </w:t>
      </w:r>
    </w:p>
    <w:p w:rsidR="00D23D1F" w:rsidRDefault="00F47209" w:rsidP="00113E9C">
      <w:pPr>
        <w:spacing w:before="120"/>
        <w:jc w:val="both"/>
        <w:rPr>
          <w:rFonts w:cs="Arial"/>
        </w:rPr>
      </w:pPr>
      <w:r>
        <w:rPr>
          <w:rFonts w:cs="Arial"/>
        </w:rPr>
        <w:t>Det større skatteprovenuet</w:t>
      </w:r>
      <w:r w:rsidR="00DF5EE6">
        <w:rPr>
          <w:rFonts w:cs="Arial"/>
        </w:rPr>
        <w:t xml:space="preserve"> kan forklares ved en vækst på 0</w:t>
      </w:r>
      <w:r>
        <w:rPr>
          <w:rFonts w:cs="Arial"/>
        </w:rPr>
        <w:t>,</w:t>
      </w:r>
      <w:r w:rsidR="00DF5EE6">
        <w:rPr>
          <w:rFonts w:cs="Arial"/>
        </w:rPr>
        <w:t>55</w:t>
      </w:r>
      <w:r>
        <w:rPr>
          <w:rFonts w:cs="Arial"/>
        </w:rPr>
        <w:t xml:space="preserve">% større end den skønnede vækst i hele landet fra 2011 til 2012 svarende til </w:t>
      </w:r>
      <w:r w:rsidR="00B64186">
        <w:rPr>
          <w:rFonts w:cs="Arial"/>
        </w:rPr>
        <w:t>19</w:t>
      </w:r>
      <w:r w:rsidR="004A37EF">
        <w:rPr>
          <w:rFonts w:cs="Arial"/>
        </w:rPr>
        <w:t>,</w:t>
      </w:r>
      <w:r w:rsidR="00B64186">
        <w:rPr>
          <w:rFonts w:cs="Arial"/>
        </w:rPr>
        <w:t>1</w:t>
      </w:r>
      <w:r w:rsidR="00D23D1F">
        <w:rPr>
          <w:rFonts w:cs="Arial"/>
        </w:rPr>
        <w:t xml:space="preserve"> mio. kr. og en befolkning på 70 personer mere end forudsat i det statsgaranterede udskri</w:t>
      </w:r>
      <w:r w:rsidR="004A37EF">
        <w:rPr>
          <w:rFonts w:cs="Arial"/>
        </w:rPr>
        <w:t>v</w:t>
      </w:r>
      <w:r w:rsidR="00B64186">
        <w:rPr>
          <w:rFonts w:cs="Arial"/>
        </w:rPr>
        <w:t>ningsgrundlag, svarende til 2</w:t>
      </w:r>
      <w:r w:rsidR="004A37EF">
        <w:rPr>
          <w:rFonts w:cs="Arial"/>
        </w:rPr>
        <w:t>,9</w:t>
      </w:r>
      <w:r w:rsidR="00D23D1F">
        <w:rPr>
          <w:rFonts w:cs="Arial"/>
        </w:rPr>
        <w:t xml:space="preserve"> mio. kr. </w:t>
      </w:r>
    </w:p>
    <w:p w:rsidR="00113E9C" w:rsidRDefault="00113E9C" w:rsidP="00113E9C">
      <w:pPr>
        <w:spacing w:before="120"/>
        <w:jc w:val="both"/>
        <w:rPr>
          <w:rFonts w:cs="Arial"/>
        </w:rPr>
      </w:pPr>
      <w:r w:rsidRPr="007825F2">
        <w:rPr>
          <w:rFonts w:cs="Arial"/>
        </w:rPr>
        <w:t>Den samlede in</w:t>
      </w:r>
      <w:r w:rsidR="00B64186">
        <w:rPr>
          <w:rFonts w:cs="Arial"/>
        </w:rPr>
        <w:t>dtægtsforskel er således på 3,1</w:t>
      </w:r>
      <w:r w:rsidR="0015684B">
        <w:rPr>
          <w:rFonts w:cs="Arial"/>
        </w:rPr>
        <w:t xml:space="preserve"> mio. kr. i favør til selvbudge</w:t>
      </w:r>
      <w:r w:rsidR="0015684B">
        <w:rPr>
          <w:rFonts w:cs="Arial"/>
        </w:rPr>
        <w:t>t</w:t>
      </w:r>
      <w:r w:rsidR="0015684B">
        <w:rPr>
          <w:rFonts w:cs="Arial"/>
        </w:rPr>
        <w:t>tering</w:t>
      </w:r>
      <w:r w:rsidRPr="007825F2">
        <w:rPr>
          <w:rFonts w:cs="Arial"/>
        </w:rPr>
        <w:t xml:space="preserve">. </w:t>
      </w:r>
    </w:p>
    <w:p w:rsidR="00FE7FC6" w:rsidRDefault="0015684B" w:rsidP="00C9629D">
      <w:pPr>
        <w:pStyle w:val="Sidefod"/>
        <w:tabs>
          <w:tab w:val="clear" w:pos="4819"/>
        </w:tabs>
        <w:spacing w:before="120"/>
        <w:jc w:val="both"/>
        <w:rPr>
          <w:rFonts w:cs="Arial"/>
        </w:rPr>
      </w:pPr>
      <w:r>
        <w:rPr>
          <w:rFonts w:cs="Arial"/>
        </w:rPr>
        <w:t>Gevinsten ved valg af selvbudgettering, som skyldes den bedre vækst i u</w:t>
      </w:r>
      <w:r>
        <w:rPr>
          <w:rFonts w:cs="Arial"/>
        </w:rPr>
        <w:t>d</w:t>
      </w:r>
      <w:r>
        <w:rPr>
          <w:rFonts w:cs="Arial"/>
        </w:rPr>
        <w:t>skrivningsgrundlaget fra 2011 til 2012 i Holstebro end landet som helhed, skal vurderes i forhold til den forventede samlede vækst i udskrivningsgrundlaget fra 2011 til 2014.</w:t>
      </w:r>
      <w:r w:rsidR="007E738B">
        <w:rPr>
          <w:rFonts w:cs="Arial"/>
        </w:rPr>
        <w:t xml:space="preserve"> Hvis den samlede vækst fra 2012 til 2014 eksempelvis bl</w:t>
      </w:r>
      <w:r w:rsidR="007E738B">
        <w:rPr>
          <w:rFonts w:cs="Arial"/>
        </w:rPr>
        <w:t>i</w:t>
      </w:r>
      <w:r w:rsidR="00B64186">
        <w:rPr>
          <w:rFonts w:cs="Arial"/>
        </w:rPr>
        <w:t>ver 0</w:t>
      </w:r>
      <w:r w:rsidR="009A2C90">
        <w:rPr>
          <w:rFonts w:cs="Arial"/>
        </w:rPr>
        <w:t>,</w:t>
      </w:r>
      <w:r w:rsidR="00B64186">
        <w:rPr>
          <w:rFonts w:cs="Arial"/>
        </w:rPr>
        <w:t>55</w:t>
      </w:r>
      <w:r w:rsidR="007E738B">
        <w:rPr>
          <w:rFonts w:cs="Arial"/>
        </w:rPr>
        <w:t xml:space="preserve"> % lavere end væksten i det garanterede udskrivningsgrundlag, er fordelen ved valg af selvbudgettering ikke længere til stede.</w:t>
      </w:r>
    </w:p>
    <w:p w:rsidR="00834CBA" w:rsidRDefault="00834CBA" w:rsidP="00C9629D">
      <w:pPr>
        <w:pStyle w:val="Sidefod"/>
        <w:tabs>
          <w:tab w:val="clear" w:pos="4819"/>
        </w:tabs>
        <w:spacing w:before="120"/>
        <w:jc w:val="both"/>
        <w:rPr>
          <w:rFonts w:cs="Arial"/>
        </w:rPr>
      </w:pPr>
      <w:r>
        <w:rPr>
          <w:rFonts w:cs="Arial"/>
        </w:rPr>
        <w:t>Den beskedne gevinst ved valg af selvbudgettering, sammenholdt med ris</w:t>
      </w:r>
      <w:r>
        <w:rPr>
          <w:rFonts w:cs="Arial"/>
        </w:rPr>
        <w:t>i</w:t>
      </w:r>
      <w:r>
        <w:rPr>
          <w:rFonts w:cs="Arial"/>
        </w:rPr>
        <w:t>koen for tab hvis udviklingen i hele landet og i Holstebro Kommune i særd</w:t>
      </w:r>
      <w:r>
        <w:rPr>
          <w:rFonts w:cs="Arial"/>
        </w:rPr>
        <w:t>e</w:t>
      </w:r>
      <w:r>
        <w:rPr>
          <w:rFonts w:cs="Arial"/>
        </w:rPr>
        <w:t>leshed ikke forløber som skønnet</w:t>
      </w:r>
      <w:r w:rsidR="005D082C">
        <w:rPr>
          <w:rFonts w:cs="Arial"/>
        </w:rPr>
        <w:t>, gør</w:t>
      </w:r>
      <w:r>
        <w:rPr>
          <w:rFonts w:cs="Arial"/>
        </w:rPr>
        <w:t xml:space="preserve"> at administrationen indstiller</w:t>
      </w:r>
      <w:r w:rsidR="005D082C">
        <w:rPr>
          <w:rFonts w:cs="Arial"/>
        </w:rPr>
        <w:t>,</w:t>
      </w:r>
      <w:r>
        <w:rPr>
          <w:rFonts w:cs="Arial"/>
        </w:rPr>
        <w:t xml:space="preserve"> at det statsgaranterede udskrivningsgrundlag vælges for budgetåret 2014. </w:t>
      </w:r>
    </w:p>
    <w:p w:rsidR="00834CBA" w:rsidRDefault="00834CBA" w:rsidP="00C9629D">
      <w:pPr>
        <w:pStyle w:val="Sidefod"/>
        <w:tabs>
          <w:tab w:val="clear" w:pos="4819"/>
        </w:tabs>
        <w:spacing w:before="120"/>
        <w:jc w:val="both"/>
        <w:rPr>
          <w:rFonts w:cs="Arial"/>
        </w:rPr>
      </w:pPr>
    </w:p>
    <w:sectPr w:rsidR="00834CBA" w:rsidSect="007E7D97">
      <w:footerReference w:type="even" r:id="rId7"/>
      <w:footerReference w:type="default" r:id="rId8"/>
      <w:pgSz w:w="11906" w:h="16838" w:code="9"/>
      <w:pgMar w:top="2098" w:right="1814" w:bottom="340" w:left="1814" w:header="709" w:footer="340" w:gutter="0"/>
      <w:paperSrc w:first="3" w:other="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EE6" w:rsidRDefault="00DF5EE6">
      <w:r>
        <w:separator/>
      </w:r>
    </w:p>
  </w:endnote>
  <w:endnote w:type="continuationSeparator" w:id="0">
    <w:p w:rsidR="00DF5EE6" w:rsidRDefault="00DF5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EE6" w:rsidRDefault="00DF5EE6" w:rsidP="0024241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5</w:t>
    </w:r>
    <w:r>
      <w:rPr>
        <w:rStyle w:val="Sidetal"/>
      </w:rPr>
      <w:fldChar w:fldCharType="end"/>
    </w:r>
  </w:p>
  <w:p w:rsidR="00DF5EE6" w:rsidRDefault="00DF5EE6" w:rsidP="00242418">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4" w:name="bmkKontor"/>
  <w:p w:rsidR="00DF5EE6" w:rsidRDefault="00DF5EE6" w:rsidP="0024241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93207">
      <w:rPr>
        <w:rStyle w:val="Sidetal"/>
        <w:noProof/>
      </w:rPr>
      <w:t>1</w:t>
    </w:r>
    <w:r>
      <w:rPr>
        <w:rStyle w:val="Sidetal"/>
      </w:rPr>
      <w:fldChar w:fldCharType="end"/>
    </w:r>
  </w:p>
  <w:p w:rsidR="00DF5EE6" w:rsidRPr="00573564" w:rsidRDefault="00DF5EE6" w:rsidP="00573564">
    <w:pPr>
      <w:pStyle w:val="Sidefod"/>
      <w:ind w:right="360"/>
      <w:jc w:val="center"/>
    </w:pPr>
    <w:r w:rsidRPr="00E25B78">
      <w:t>ØKONOMI</w:t>
    </w:r>
    <w:bookmarkEnd w:id="4"/>
    <w:r w:rsidRPr="00E25B78">
      <w:t xml:space="preserve"> </w:t>
    </w:r>
  </w:p>
  <w:p w:rsidR="00DF5EE6" w:rsidRPr="00E25B78" w:rsidRDefault="00DF5EE6">
    <w:pPr>
      <w:pStyle w:val="Sidefod"/>
      <w:jc w:val="center"/>
      <w:rPr>
        <w:sz w:val="18"/>
      </w:rPr>
    </w:pPr>
    <w:bookmarkStart w:id="5" w:name="bmkSted"/>
    <w:r w:rsidRPr="00E25B78">
      <w:rPr>
        <w:sz w:val="18"/>
      </w:rPr>
      <w:t>Rådhuset</w:t>
    </w:r>
    <w:bookmarkEnd w:id="5"/>
    <w:r w:rsidRPr="00E25B78">
      <w:rPr>
        <w:sz w:val="18"/>
      </w:rPr>
      <w:t xml:space="preserve">  -  </w:t>
    </w:r>
    <w:bookmarkStart w:id="6" w:name="bmkPostnr"/>
    <w:r w:rsidRPr="00E25B78">
      <w:rPr>
        <w:sz w:val="18"/>
      </w:rPr>
      <w:t>7500</w:t>
    </w:r>
    <w:bookmarkEnd w:id="6"/>
    <w:r w:rsidRPr="00E25B78">
      <w:rPr>
        <w:sz w:val="18"/>
      </w:rPr>
      <w:t xml:space="preserve">    </w:t>
    </w:r>
    <w:bookmarkStart w:id="7" w:name="bmkBy"/>
    <w:r w:rsidRPr="00E25B78">
      <w:rPr>
        <w:sz w:val="18"/>
      </w:rPr>
      <w:t>Holstebro</w:t>
    </w:r>
    <w:bookmarkEnd w:id="7"/>
    <w:r w:rsidRPr="00E25B78">
      <w:rPr>
        <w:sz w:val="18"/>
      </w:rPr>
      <w:t xml:space="preserve">  -  </w:t>
    </w:r>
    <w:bookmarkStart w:id="8" w:name="bmkTlf"/>
    <w:proofErr w:type="spellStart"/>
    <w:r w:rsidRPr="00E25B78">
      <w:rPr>
        <w:sz w:val="18"/>
      </w:rPr>
      <w:t>Tlf</w:t>
    </w:r>
    <w:proofErr w:type="spellEnd"/>
    <w:r w:rsidRPr="00E25B78">
      <w:rPr>
        <w:sz w:val="18"/>
      </w:rPr>
      <w:t>: 9611 7500</w:t>
    </w:r>
    <w:bookmarkEnd w:id="8"/>
    <w:r w:rsidRPr="00E25B78">
      <w:rPr>
        <w:sz w:val="18"/>
      </w:rPr>
      <w:t xml:space="preserve">  -  </w:t>
    </w:r>
    <w:bookmarkStart w:id="9" w:name="bmkFax"/>
    <w:r w:rsidRPr="00E25B78">
      <w:rPr>
        <w:sz w:val="18"/>
      </w:rPr>
      <w:t xml:space="preserve">Fax: </w:t>
    </w:r>
    <w:bookmarkEnd w:id="9"/>
  </w:p>
  <w:p w:rsidR="00DF5EE6" w:rsidRDefault="00DF5EE6">
    <w:pPr>
      <w:pStyle w:val="Sidefod"/>
      <w:jc w:val="center"/>
      <w:rPr>
        <w:sz w:val="18"/>
      </w:rPr>
    </w:pPr>
    <w:bookmarkStart w:id="10" w:name="bmkHjemmeside"/>
    <w:r>
      <w:rPr>
        <w:sz w:val="18"/>
      </w:rPr>
      <w:t>Hjemmeside: www.holstebro.dk</w:t>
    </w:r>
    <w:bookmarkEnd w:id="10"/>
    <w:r>
      <w:rPr>
        <w:sz w:val="18"/>
      </w:rPr>
      <w:t xml:space="preserve">  -  </w:t>
    </w:r>
    <w:bookmarkStart w:id="11" w:name="bmkAfdelingEmail"/>
    <w:r>
      <w:rPr>
        <w:sz w:val="18"/>
      </w:rPr>
      <w:t xml:space="preserve">E-post: </w:t>
    </w:r>
    <w:bookmarkEnd w:id="11"/>
    <w:r>
      <w:rPr>
        <w:sz w:val="18"/>
      </w:rPr>
      <w:fldChar w:fldCharType="begin"/>
    </w:r>
    <w:r>
      <w:rPr>
        <w:sz w:val="18"/>
      </w:rPr>
      <w:instrText xml:space="preserve"> HYPERLINK "mailto:Oekonomi@holstebro.dk" </w:instrText>
    </w:r>
    <w:r>
      <w:rPr>
        <w:sz w:val="18"/>
      </w:rPr>
      <w:fldChar w:fldCharType="separate"/>
    </w:r>
    <w:r w:rsidRPr="00CF2ED2">
      <w:rPr>
        <w:rStyle w:val="Hyperlink"/>
        <w:sz w:val="18"/>
      </w:rPr>
      <w:t>Oekonomi@holstebro.dk</w:t>
    </w:r>
    <w:r>
      <w:rPr>
        <w:sz w:val="18"/>
      </w:rPr>
      <w:fldChar w:fldCharType="end"/>
    </w:r>
  </w:p>
  <w:p w:rsidR="00DF5EE6" w:rsidRDefault="00DF5EE6">
    <w:pPr>
      <w:pStyle w:val="Sidefod"/>
      <w:jc w:val="center"/>
      <w:rPr>
        <w:sz w:val="18"/>
      </w:rPr>
    </w:pPr>
  </w:p>
  <w:p w:rsidR="00DF5EE6" w:rsidRDefault="00DF5EE6">
    <w:pPr>
      <w:pStyle w:val="Sidefod"/>
      <w:jc w:val="center"/>
      <w:rPr>
        <w:sz w:val="18"/>
      </w:rPr>
    </w:pPr>
    <w:bookmarkStart w:id="12" w:name="bmkCVR"/>
    <w:r>
      <w:rPr>
        <w:sz w:val="18"/>
      </w:rPr>
      <w:t>CVR: 29189927</w:t>
    </w:r>
    <w:bookmarkEnd w:id="1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EE6" w:rsidRDefault="00DF5EE6">
      <w:r>
        <w:separator/>
      </w:r>
    </w:p>
  </w:footnote>
  <w:footnote w:type="continuationSeparator" w:id="0">
    <w:p w:rsidR="00DF5EE6" w:rsidRDefault="00DF5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74FBA"/>
    <w:multiLevelType w:val="hybridMultilevel"/>
    <w:tmpl w:val="56161BAA"/>
    <w:lvl w:ilvl="0" w:tplc="9AC4D1A2">
      <w:start w:val="2"/>
      <w:numFmt w:val="upperLetter"/>
      <w:lvlText w:val="%1."/>
      <w:lvlJc w:val="left"/>
      <w:pPr>
        <w:tabs>
          <w:tab w:val="num" w:pos="360"/>
        </w:tabs>
        <w:ind w:left="360" w:hanging="360"/>
      </w:pPr>
      <w:rPr>
        <w:rFonts w:cs="Times New Roman" w:hint="default"/>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
    <w:nsid w:val="365B0071"/>
    <w:multiLevelType w:val="hybridMultilevel"/>
    <w:tmpl w:val="724652EC"/>
    <w:lvl w:ilvl="0" w:tplc="04060015">
      <w:start w:val="2"/>
      <w:numFmt w:val="upp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3A6C135A"/>
    <w:multiLevelType w:val="hybridMultilevel"/>
    <w:tmpl w:val="2E8632F2"/>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4906274D"/>
    <w:multiLevelType w:val="hybridMultilevel"/>
    <w:tmpl w:val="E76E05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096564C"/>
    <w:multiLevelType w:val="hybridMultilevel"/>
    <w:tmpl w:val="249A8174"/>
    <w:lvl w:ilvl="0" w:tplc="04060015">
      <w:start w:val="1"/>
      <w:numFmt w:val="upp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5AA65C97"/>
    <w:multiLevelType w:val="hybridMultilevel"/>
    <w:tmpl w:val="95FC60CA"/>
    <w:lvl w:ilvl="0" w:tplc="04060015">
      <w:start w:val="1"/>
      <w:numFmt w:val="upperLetter"/>
      <w:lvlText w:val="%1."/>
      <w:lvlJc w:val="left"/>
      <w:pPr>
        <w:tabs>
          <w:tab w:val="num" w:pos="360"/>
        </w:tabs>
        <w:ind w:left="360" w:hanging="360"/>
      </w:p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cs="Wingdings" w:hint="default"/>
      </w:rPr>
    </w:lvl>
    <w:lvl w:ilvl="3" w:tplc="04060001">
      <w:start w:val="1"/>
      <w:numFmt w:val="bullet"/>
      <w:lvlText w:val=""/>
      <w:lvlJc w:val="left"/>
      <w:pPr>
        <w:tabs>
          <w:tab w:val="num" w:pos="2520"/>
        </w:tabs>
        <w:ind w:left="2520" w:hanging="360"/>
      </w:pPr>
      <w:rPr>
        <w:rFonts w:ascii="Symbol" w:hAnsi="Symbol" w:cs="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cs="Wingdings" w:hint="default"/>
      </w:rPr>
    </w:lvl>
    <w:lvl w:ilvl="6" w:tplc="04060001">
      <w:start w:val="1"/>
      <w:numFmt w:val="bullet"/>
      <w:lvlText w:val=""/>
      <w:lvlJc w:val="left"/>
      <w:pPr>
        <w:tabs>
          <w:tab w:val="num" w:pos="4680"/>
        </w:tabs>
        <w:ind w:left="4680" w:hanging="360"/>
      </w:pPr>
      <w:rPr>
        <w:rFonts w:ascii="Symbol" w:hAnsi="Symbol" w:cs="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cs="Wingdings" w:hint="default"/>
      </w:rPr>
    </w:lvl>
  </w:abstractNum>
  <w:abstractNum w:abstractNumId="6">
    <w:nsid w:val="5F7A2477"/>
    <w:multiLevelType w:val="hybridMultilevel"/>
    <w:tmpl w:val="2DB4AACE"/>
    <w:lvl w:ilvl="0" w:tplc="04060015">
      <w:start w:val="1"/>
      <w:numFmt w:val="upp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1304"/>
  <w:autoHyphenation/>
  <w:hyphenationZone w:val="14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595E"/>
    <w:rsid w:val="00006370"/>
    <w:rsid w:val="00012AA4"/>
    <w:rsid w:val="0005005E"/>
    <w:rsid w:val="00051CC6"/>
    <w:rsid w:val="000619FE"/>
    <w:rsid w:val="0006328E"/>
    <w:rsid w:val="00081421"/>
    <w:rsid w:val="00085DCB"/>
    <w:rsid w:val="00097B73"/>
    <w:rsid w:val="000A53E4"/>
    <w:rsid w:val="000B2608"/>
    <w:rsid w:val="000C601F"/>
    <w:rsid w:val="000C6931"/>
    <w:rsid w:val="00113E9C"/>
    <w:rsid w:val="00127137"/>
    <w:rsid w:val="001479EB"/>
    <w:rsid w:val="00155A19"/>
    <w:rsid w:val="0015684B"/>
    <w:rsid w:val="00160C19"/>
    <w:rsid w:val="0016607F"/>
    <w:rsid w:val="0016717A"/>
    <w:rsid w:val="00175F13"/>
    <w:rsid w:val="00176B7E"/>
    <w:rsid w:val="001942E3"/>
    <w:rsid w:val="00196324"/>
    <w:rsid w:val="001E1545"/>
    <w:rsid w:val="00210B84"/>
    <w:rsid w:val="002325A5"/>
    <w:rsid w:val="00242418"/>
    <w:rsid w:val="00265D1B"/>
    <w:rsid w:val="002745A2"/>
    <w:rsid w:val="002B2821"/>
    <w:rsid w:val="002B7D1F"/>
    <w:rsid w:val="002C34D0"/>
    <w:rsid w:val="002D0496"/>
    <w:rsid w:val="002D7E3A"/>
    <w:rsid w:val="002F6332"/>
    <w:rsid w:val="00313493"/>
    <w:rsid w:val="003600F3"/>
    <w:rsid w:val="00371036"/>
    <w:rsid w:val="00376F6E"/>
    <w:rsid w:val="003770BB"/>
    <w:rsid w:val="00383EE8"/>
    <w:rsid w:val="003A0040"/>
    <w:rsid w:val="003C68EB"/>
    <w:rsid w:val="003D7086"/>
    <w:rsid w:val="003E6D87"/>
    <w:rsid w:val="003E74CB"/>
    <w:rsid w:val="003F6111"/>
    <w:rsid w:val="00400E03"/>
    <w:rsid w:val="0041321B"/>
    <w:rsid w:val="00441F8B"/>
    <w:rsid w:val="00451208"/>
    <w:rsid w:val="004749F1"/>
    <w:rsid w:val="004806E8"/>
    <w:rsid w:val="004A37EF"/>
    <w:rsid w:val="004A6899"/>
    <w:rsid w:val="004C56ED"/>
    <w:rsid w:val="004E34C2"/>
    <w:rsid w:val="0052623D"/>
    <w:rsid w:val="00547666"/>
    <w:rsid w:val="005643E8"/>
    <w:rsid w:val="00573564"/>
    <w:rsid w:val="005B4824"/>
    <w:rsid w:val="005D00F8"/>
    <w:rsid w:val="005D082C"/>
    <w:rsid w:val="005D741B"/>
    <w:rsid w:val="005E77E9"/>
    <w:rsid w:val="00634192"/>
    <w:rsid w:val="0064129A"/>
    <w:rsid w:val="00653857"/>
    <w:rsid w:val="006811F9"/>
    <w:rsid w:val="00683226"/>
    <w:rsid w:val="0069561B"/>
    <w:rsid w:val="00696EC8"/>
    <w:rsid w:val="006A3B71"/>
    <w:rsid w:val="006B0F7B"/>
    <w:rsid w:val="006C1A56"/>
    <w:rsid w:val="006C3EF0"/>
    <w:rsid w:val="006D5F9B"/>
    <w:rsid w:val="006E0AC1"/>
    <w:rsid w:val="006F7F1A"/>
    <w:rsid w:val="00702A7B"/>
    <w:rsid w:val="0071731D"/>
    <w:rsid w:val="007206CA"/>
    <w:rsid w:val="00763B1E"/>
    <w:rsid w:val="007825F2"/>
    <w:rsid w:val="00786504"/>
    <w:rsid w:val="007A7BBE"/>
    <w:rsid w:val="007B553C"/>
    <w:rsid w:val="007E738B"/>
    <w:rsid w:val="007E7D97"/>
    <w:rsid w:val="007F794C"/>
    <w:rsid w:val="00824550"/>
    <w:rsid w:val="00834CBA"/>
    <w:rsid w:val="00843999"/>
    <w:rsid w:val="00851AC3"/>
    <w:rsid w:val="00883BF3"/>
    <w:rsid w:val="0089157D"/>
    <w:rsid w:val="00893207"/>
    <w:rsid w:val="008B2523"/>
    <w:rsid w:val="008C00DF"/>
    <w:rsid w:val="008C3510"/>
    <w:rsid w:val="008C416E"/>
    <w:rsid w:val="008D675F"/>
    <w:rsid w:val="008D6C13"/>
    <w:rsid w:val="008F0D43"/>
    <w:rsid w:val="008F17A9"/>
    <w:rsid w:val="009030E5"/>
    <w:rsid w:val="009248C5"/>
    <w:rsid w:val="0092770C"/>
    <w:rsid w:val="009360CD"/>
    <w:rsid w:val="00962DE2"/>
    <w:rsid w:val="009732F3"/>
    <w:rsid w:val="00981C70"/>
    <w:rsid w:val="009A2C90"/>
    <w:rsid w:val="009B4C65"/>
    <w:rsid w:val="009C6063"/>
    <w:rsid w:val="009D6912"/>
    <w:rsid w:val="00A058EA"/>
    <w:rsid w:val="00A05F72"/>
    <w:rsid w:val="00A12F65"/>
    <w:rsid w:val="00A34AF2"/>
    <w:rsid w:val="00A6406E"/>
    <w:rsid w:val="00A64A3E"/>
    <w:rsid w:val="00A74687"/>
    <w:rsid w:val="00A77100"/>
    <w:rsid w:val="00A84E07"/>
    <w:rsid w:val="00A91AAF"/>
    <w:rsid w:val="00AB16B7"/>
    <w:rsid w:val="00AC2F67"/>
    <w:rsid w:val="00AD55BE"/>
    <w:rsid w:val="00AE6DEF"/>
    <w:rsid w:val="00AF2BC4"/>
    <w:rsid w:val="00AF3451"/>
    <w:rsid w:val="00B06793"/>
    <w:rsid w:val="00B13BAD"/>
    <w:rsid w:val="00B328A7"/>
    <w:rsid w:val="00B36390"/>
    <w:rsid w:val="00B435E6"/>
    <w:rsid w:val="00B62D55"/>
    <w:rsid w:val="00B64186"/>
    <w:rsid w:val="00B705AA"/>
    <w:rsid w:val="00B86396"/>
    <w:rsid w:val="00BA2661"/>
    <w:rsid w:val="00BB26BA"/>
    <w:rsid w:val="00BC573F"/>
    <w:rsid w:val="00BC6C2C"/>
    <w:rsid w:val="00BE1A66"/>
    <w:rsid w:val="00BF76A8"/>
    <w:rsid w:val="00C24023"/>
    <w:rsid w:val="00C52C80"/>
    <w:rsid w:val="00C6185E"/>
    <w:rsid w:val="00C70419"/>
    <w:rsid w:val="00C713CC"/>
    <w:rsid w:val="00C72E5E"/>
    <w:rsid w:val="00C865C4"/>
    <w:rsid w:val="00C9629D"/>
    <w:rsid w:val="00CA4710"/>
    <w:rsid w:val="00CA58A2"/>
    <w:rsid w:val="00CA6279"/>
    <w:rsid w:val="00CE4D14"/>
    <w:rsid w:val="00CF6C00"/>
    <w:rsid w:val="00D143E3"/>
    <w:rsid w:val="00D23D1F"/>
    <w:rsid w:val="00D53205"/>
    <w:rsid w:val="00D80EA2"/>
    <w:rsid w:val="00DA3545"/>
    <w:rsid w:val="00DA595E"/>
    <w:rsid w:val="00DE5A82"/>
    <w:rsid w:val="00DF529E"/>
    <w:rsid w:val="00DF5EE6"/>
    <w:rsid w:val="00DF7674"/>
    <w:rsid w:val="00E00655"/>
    <w:rsid w:val="00E17A6F"/>
    <w:rsid w:val="00E25B78"/>
    <w:rsid w:val="00E35736"/>
    <w:rsid w:val="00E60711"/>
    <w:rsid w:val="00E632ED"/>
    <w:rsid w:val="00E9448E"/>
    <w:rsid w:val="00E94AA7"/>
    <w:rsid w:val="00EC68BA"/>
    <w:rsid w:val="00ED2153"/>
    <w:rsid w:val="00EF0127"/>
    <w:rsid w:val="00F027D6"/>
    <w:rsid w:val="00F40C0B"/>
    <w:rsid w:val="00F41131"/>
    <w:rsid w:val="00F4505C"/>
    <w:rsid w:val="00F47209"/>
    <w:rsid w:val="00F52B44"/>
    <w:rsid w:val="00F724B6"/>
    <w:rsid w:val="00F777D1"/>
    <w:rsid w:val="00F903A7"/>
    <w:rsid w:val="00F97613"/>
    <w:rsid w:val="00FA617A"/>
    <w:rsid w:val="00FC4610"/>
    <w:rsid w:val="00FD3423"/>
    <w:rsid w:val="00FD7645"/>
    <w:rsid w:val="00FE0261"/>
    <w:rsid w:val="00FE7FC6"/>
    <w:rsid w:val="00FF05DC"/>
    <w:rsid w:val="00FF0877"/>
    <w:rsid w:val="00FF7C92"/>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D97"/>
    <w:rPr>
      <w:rFonts w:ascii="Arial" w:hAnsi="Arial"/>
      <w:sz w:val="24"/>
      <w:szCs w:val="24"/>
    </w:rPr>
  </w:style>
  <w:style w:type="paragraph" w:styleId="Overskrift1">
    <w:name w:val="heading 1"/>
    <w:basedOn w:val="Normal"/>
    <w:next w:val="Normal"/>
    <w:qFormat/>
    <w:rsid w:val="007E7D97"/>
    <w:pPr>
      <w:keepNext/>
      <w:spacing w:before="100" w:beforeAutospacing="1" w:after="240"/>
      <w:outlineLvl w:val="0"/>
    </w:pPr>
    <w:rPr>
      <w:rFonts w:cs="Arial"/>
      <w:bCs/>
      <w:sz w:val="28"/>
      <w:szCs w:val="32"/>
    </w:rPr>
  </w:style>
  <w:style w:type="paragraph" w:styleId="Overskrift2">
    <w:name w:val="heading 2"/>
    <w:basedOn w:val="Normal"/>
    <w:next w:val="Normal"/>
    <w:qFormat/>
    <w:rsid w:val="007E7D97"/>
    <w:pPr>
      <w:keepNext/>
      <w:framePr w:hSpace="141" w:wrap="notBeside" w:vAnchor="text" w:hAnchor="margin" w:y="184"/>
      <w:outlineLvl w:val="1"/>
    </w:pPr>
    <w:rPr>
      <w:rFonts w:cs="Arial"/>
      <w:i/>
      <w:iCs/>
      <w:spacing w:val="20"/>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E7D97"/>
    <w:pPr>
      <w:tabs>
        <w:tab w:val="center" w:pos="4819"/>
        <w:tab w:val="right" w:pos="9638"/>
      </w:tabs>
    </w:pPr>
  </w:style>
  <w:style w:type="paragraph" w:styleId="Sidefod">
    <w:name w:val="footer"/>
    <w:basedOn w:val="Normal"/>
    <w:rsid w:val="007E7D97"/>
    <w:pPr>
      <w:tabs>
        <w:tab w:val="center" w:pos="4819"/>
        <w:tab w:val="right" w:pos="9638"/>
      </w:tabs>
    </w:pPr>
  </w:style>
  <w:style w:type="table" w:styleId="Tabel-Gitter">
    <w:name w:val="Table Grid"/>
    <w:basedOn w:val="Tabel-Normal"/>
    <w:rsid w:val="00480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242418"/>
  </w:style>
  <w:style w:type="paragraph" w:customStyle="1" w:styleId="Default">
    <w:name w:val="Default"/>
    <w:rsid w:val="009732F3"/>
    <w:pPr>
      <w:autoSpaceDE w:val="0"/>
      <w:autoSpaceDN w:val="0"/>
      <w:adjustRightInd w:val="0"/>
    </w:pPr>
    <w:rPr>
      <w:rFonts w:ascii="Arial" w:hAnsi="Arial" w:cs="Arial"/>
      <w:color w:val="000000"/>
      <w:sz w:val="24"/>
      <w:szCs w:val="24"/>
    </w:rPr>
  </w:style>
  <w:style w:type="character" w:styleId="Hyperlink">
    <w:name w:val="Hyperlink"/>
    <w:basedOn w:val="Standardskrifttypeiafsnit"/>
    <w:rsid w:val="005735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158793">
      <w:bodyDiv w:val="1"/>
      <w:marLeft w:val="0"/>
      <w:marRight w:val="0"/>
      <w:marTop w:val="0"/>
      <w:marBottom w:val="0"/>
      <w:divBdr>
        <w:top w:val="none" w:sz="0" w:space="0" w:color="auto"/>
        <w:left w:val="none" w:sz="0" w:space="0" w:color="auto"/>
        <w:bottom w:val="none" w:sz="0" w:space="0" w:color="auto"/>
        <w:right w:val="none" w:sz="0" w:space="0" w:color="auto"/>
      </w:divBdr>
    </w:div>
    <w:div w:id="558638051">
      <w:bodyDiv w:val="1"/>
      <w:marLeft w:val="0"/>
      <w:marRight w:val="0"/>
      <w:marTop w:val="0"/>
      <w:marBottom w:val="0"/>
      <w:divBdr>
        <w:top w:val="none" w:sz="0" w:space="0" w:color="auto"/>
        <w:left w:val="none" w:sz="0" w:space="0" w:color="auto"/>
        <w:bottom w:val="none" w:sz="0" w:space="0" w:color="auto"/>
        <w:right w:val="none" w:sz="0" w:space="0" w:color="auto"/>
      </w:divBdr>
    </w:div>
    <w:div w:id="595141081">
      <w:bodyDiv w:val="1"/>
      <w:marLeft w:val="0"/>
      <w:marRight w:val="0"/>
      <w:marTop w:val="0"/>
      <w:marBottom w:val="0"/>
      <w:divBdr>
        <w:top w:val="none" w:sz="0" w:space="0" w:color="auto"/>
        <w:left w:val="none" w:sz="0" w:space="0" w:color="auto"/>
        <w:bottom w:val="none" w:sz="0" w:space="0" w:color="auto"/>
        <w:right w:val="none" w:sz="0" w:space="0" w:color="auto"/>
      </w:divBdr>
    </w:div>
    <w:div w:id="874274309">
      <w:bodyDiv w:val="1"/>
      <w:marLeft w:val="0"/>
      <w:marRight w:val="0"/>
      <w:marTop w:val="0"/>
      <w:marBottom w:val="0"/>
      <w:divBdr>
        <w:top w:val="none" w:sz="0" w:space="0" w:color="auto"/>
        <w:left w:val="none" w:sz="0" w:space="0" w:color="auto"/>
        <w:bottom w:val="none" w:sz="0" w:space="0" w:color="auto"/>
        <w:right w:val="none" w:sz="0" w:space="0" w:color="auto"/>
      </w:divBdr>
    </w:div>
    <w:div w:id="965701717">
      <w:bodyDiv w:val="1"/>
      <w:marLeft w:val="0"/>
      <w:marRight w:val="0"/>
      <w:marTop w:val="0"/>
      <w:marBottom w:val="0"/>
      <w:divBdr>
        <w:top w:val="none" w:sz="0" w:space="0" w:color="auto"/>
        <w:left w:val="none" w:sz="0" w:space="0" w:color="auto"/>
        <w:bottom w:val="none" w:sz="0" w:space="0" w:color="auto"/>
        <w:right w:val="none" w:sz="0" w:space="0" w:color="auto"/>
      </w:divBdr>
    </w:div>
    <w:div w:id="1104887171">
      <w:bodyDiv w:val="1"/>
      <w:marLeft w:val="0"/>
      <w:marRight w:val="0"/>
      <w:marTop w:val="0"/>
      <w:marBottom w:val="0"/>
      <w:divBdr>
        <w:top w:val="none" w:sz="0" w:space="0" w:color="auto"/>
        <w:left w:val="none" w:sz="0" w:space="0" w:color="auto"/>
        <w:bottom w:val="none" w:sz="0" w:space="0" w:color="auto"/>
        <w:right w:val="none" w:sz="0" w:space="0" w:color="auto"/>
      </w:divBdr>
    </w:div>
    <w:div w:id="190737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6</Pages>
  <Words>1606</Words>
  <Characters>11356</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Ib Henrik Nielsen</cp:lastModifiedBy>
  <cp:revision>8</cp:revision>
  <cp:lastPrinted>2013-07-29T10:06:00Z</cp:lastPrinted>
  <dcterms:created xsi:type="dcterms:W3CDTF">2013-08-12T09:52:00Z</dcterms:created>
  <dcterms:modified xsi:type="dcterms:W3CDTF">2013-09-24T11:12:00Z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Valg af udskrivningsgrundlag 12.august 2013</vt:lpwstr>
  </property>
  <property fmtid="{D5CDD505-2E9C-101B-9397-08002B2CF9AE}" pid="3" name="path">
    <vt:lpwstr>C:\Users\okstin\AppData\Local\Temp\2\SJ20130924065112814 [DOK4956341].DOCX</vt:lpwstr>
  </property>
  <property fmtid="{D5CDD505-2E9C-101B-9397-08002B2CF9AE}" pid="4" name="command">
    <vt:lpwstr/>
  </property>
</Properties>
</file>