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834" w:rsidRDefault="00677834" w:rsidP="00677834">
      <w:pPr>
        <w:rPr>
          <w:b/>
        </w:rPr>
      </w:pPr>
      <w:bookmarkStart w:id="0" w:name="_GoBack"/>
      <w:bookmarkEnd w:id="0"/>
      <w:r w:rsidRPr="007A46D7">
        <w:rPr>
          <w:b/>
        </w:rPr>
        <w:t>Social- og Sundhedsudvalget</w:t>
      </w:r>
      <w:r>
        <w:rPr>
          <w:b/>
        </w:rPr>
        <w:t xml:space="preserve"> </w:t>
      </w:r>
    </w:p>
    <w:p w:rsidR="00677834" w:rsidRDefault="00677834" w:rsidP="00677834">
      <w:pPr>
        <w:rPr>
          <w:b/>
        </w:rPr>
      </w:pPr>
      <w:r w:rsidRPr="007A46D7">
        <w:rPr>
          <w:b/>
        </w:rPr>
        <w:t xml:space="preserve">Budgetopfølgning pr. </w:t>
      </w:r>
      <w:r w:rsidR="00616EC8">
        <w:rPr>
          <w:b/>
        </w:rPr>
        <w:t>31</w:t>
      </w:r>
      <w:r w:rsidRPr="007A46D7">
        <w:rPr>
          <w:b/>
        </w:rPr>
        <w:t xml:space="preserve">. </w:t>
      </w:r>
      <w:r w:rsidR="00672EA3">
        <w:rPr>
          <w:b/>
        </w:rPr>
        <w:t>august</w:t>
      </w:r>
      <w:r w:rsidR="000E35DE">
        <w:rPr>
          <w:b/>
        </w:rPr>
        <w:t xml:space="preserve"> 2013</w:t>
      </w:r>
    </w:p>
    <w:p w:rsidR="00616EC8" w:rsidRDefault="00616EC8" w:rsidP="00677834">
      <w:pPr>
        <w:rPr>
          <w:b/>
        </w:rPr>
      </w:pPr>
    </w:p>
    <w:tbl>
      <w:tblPr>
        <w:tblW w:w="9577" w:type="dxa"/>
        <w:jc w:val="center"/>
        <w:tblInd w:w="60" w:type="dxa"/>
        <w:tblCellMar>
          <w:left w:w="70" w:type="dxa"/>
          <w:right w:w="70" w:type="dxa"/>
        </w:tblCellMar>
        <w:tblLook w:val="04A0"/>
      </w:tblPr>
      <w:tblGrid>
        <w:gridCol w:w="2242"/>
        <w:gridCol w:w="1467"/>
        <w:gridCol w:w="1467"/>
        <w:gridCol w:w="1467"/>
        <w:gridCol w:w="1467"/>
        <w:gridCol w:w="1467"/>
      </w:tblGrid>
      <w:tr w:rsidR="00A10867" w:rsidRPr="00A10867" w:rsidTr="00A10867">
        <w:trPr>
          <w:trHeight w:val="255"/>
          <w:jc w:val="center"/>
        </w:trPr>
        <w:tc>
          <w:tcPr>
            <w:tcW w:w="2242" w:type="dxa"/>
            <w:vMerge w:val="restart"/>
            <w:tcBorders>
              <w:top w:val="single" w:sz="8" w:space="0" w:color="auto"/>
              <w:left w:val="single" w:sz="8" w:space="0" w:color="auto"/>
              <w:bottom w:val="single" w:sz="8" w:space="0" w:color="000000"/>
              <w:right w:val="single" w:sz="8" w:space="0" w:color="auto"/>
            </w:tcBorders>
            <w:shd w:val="clear" w:color="000000" w:fill="99CCFF"/>
            <w:noWrap/>
            <w:vAlign w:val="bottom"/>
            <w:hideMark/>
          </w:tcPr>
          <w:p w:rsidR="00A10867" w:rsidRPr="00A10867" w:rsidRDefault="00A10867" w:rsidP="00A10867">
            <w:pPr>
              <w:rPr>
                <w:rFonts w:cs="Arial"/>
                <w:sz w:val="18"/>
                <w:szCs w:val="18"/>
              </w:rPr>
            </w:pPr>
            <w:r w:rsidRPr="00A10867">
              <w:rPr>
                <w:rFonts w:cs="Arial"/>
                <w:sz w:val="18"/>
                <w:szCs w:val="18"/>
              </w:rPr>
              <w:t>Driftsområder (1.000 kr.)</w:t>
            </w:r>
          </w:p>
        </w:tc>
        <w:tc>
          <w:tcPr>
            <w:tcW w:w="1467" w:type="dxa"/>
            <w:tcBorders>
              <w:top w:val="single" w:sz="8" w:space="0" w:color="auto"/>
              <w:left w:val="nil"/>
              <w:bottom w:val="nil"/>
              <w:right w:val="single" w:sz="8" w:space="0" w:color="auto"/>
            </w:tcBorders>
            <w:shd w:val="clear" w:color="000000" w:fill="99CCFF"/>
            <w:noWrap/>
            <w:vAlign w:val="bottom"/>
            <w:hideMark/>
          </w:tcPr>
          <w:p w:rsidR="00A10867" w:rsidRPr="00A10867" w:rsidRDefault="00A10867" w:rsidP="00A10867">
            <w:pPr>
              <w:jc w:val="center"/>
              <w:rPr>
                <w:rFonts w:cs="Arial"/>
                <w:sz w:val="18"/>
                <w:szCs w:val="18"/>
              </w:rPr>
            </w:pPr>
            <w:r w:rsidRPr="00A10867">
              <w:rPr>
                <w:rFonts w:cs="Arial"/>
                <w:sz w:val="18"/>
                <w:szCs w:val="18"/>
              </w:rPr>
              <w:t>Oprindeligt</w:t>
            </w:r>
          </w:p>
        </w:tc>
        <w:tc>
          <w:tcPr>
            <w:tcW w:w="1467" w:type="dxa"/>
            <w:tcBorders>
              <w:top w:val="single" w:sz="8" w:space="0" w:color="auto"/>
              <w:left w:val="nil"/>
              <w:bottom w:val="nil"/>
              <w:right w:val="single" w:sz="8" w:space="0" w:color="auto"/>
            </w:tcBorders>
            <w:shd w:val="clear" w:color="000000" w:fill="99CCFF"/>
            <w:noWrap/>
            <w:vAlign w:val="bottom"/>
            <w:hideMark/>
          </w:tcPr>
          <w:p w:rsidR="00A10867" w:rsidRPr="00A10867" w:rsidRDefault="00A10867" w:rsidP="00A10867">
            <w:pPr>
              <w:jc w:val="center"/>
              <w:rPr>
                <w:rFonts w:cs="Arial"/>
                <w:sz w:val="18"/>
                <w:szCs w:val="18"/>
              </w:rPr>
            </w:pPr>
            <w:r w:rsidRPr="00A10867">
              <w:rPr>
                <w:rFonts w:cs="Arial"/>
                <w:sz w:val="18"/>
                <w:szCs w:val="18"/>
              </w:rPr>
              <w:t>Korrigeret</w:t>
            </w:r>
          </w:p>
        </w:tc>
        <w:tc>
          <w:tcPr>
            <w:tcW w:w="1467" w:type="dxa"/>
            <w:tcBorders>
              <w:top w:val="single" w:sz="8" w:space="0" w:color="auto"/>
              <w:left w:val="nil"/>
              <w:bottom w:val="nil"/>
              <w:right w:val="single" w:sz="8" w:space="0" w:color="auto"/>
            </w:tcBorders>
            <w:shd w:val="clear" w:color="000000" w:fill="99CCFF"/>
            <w:noWrap/>
            <w:vAlign w:val="bottom"/>
            <w:hideMark/>
          </w:tcPr>
          <w:p w:rsidR="00A10867" w:rsidRPr="00A10867" w:rsidRDefault="00A10867" w:rsidP="00A10867">
            <w:pPr>
              <w:jc w:val="center"/>
              <w:rPr>
                <w:rFonts w:cs="Arial"/>
                <w:sz w:val="18"/>
                <w:szCs w:val="18"/>
              </w:rPr>
            </w:pPr>
            <w:r w:rsidRPr="00A10867">
              <w:rPr>
                <w:rFonts w:cs="Arial"/>
                <w:sz w:val="18"/>
                <w:szCs w:val="18"/>
              </w:rPr>
              <w:t>Forbrug</w:t>
            </w:r>
          </w:p>
        </w:tc>
        <w:tc>
          <w:tcPr>
            <w:tcW w:w="1467" w:type="dxa"/>
            <w:tcBorders>
              <w:top w:val="single" w:sz="8" w:space="0" w:color="auto"/>
              <w:left w:val="nil"/>
              <w:bottom w:val="nil"/>
              <w:right w:val="single" w:sz="8" w:space="0" w:color="auto"/>
            </w:tcBorders>
            <w:shd w:val="clear" w:color="000000" w:fill="99CCFF"/>
            <w:noWrap/>
            <w:vAlign w:val="bottom"/>
            <w:hideMark/>
          </w:tcPr>
          <w:p w:rsidR="00A10867" w:rsidRPr="00A10867" w:rsidRDefault="00A10867" w:rsidP="00A10867">
            <w:pPr>
              <w:jc w:val="center"/>
              <w:rPr>
                <w:rFonts w:cs="Arial"/>
                <w:sz w:val="18"/>
                <w:szCs w:val="18"/>
              </w:rPr>
            </w:pPr>
            <w:r w:rsidRPr="00A10867">
              <w:rPr>
                <w:rFonts w:cs="Arial"/>
                <w:sz w:val="18"/>
                <w:szCs w:val="18"/>
              </w:rPr>
              <w:t xml:space="preserve"> Forventet </w:t>
            </w:r>
          </w:p>
        </w:tc>
        <w:tc>
          <w:tcPr>
            <w:tcW w:w="1467" w:type="dxa"/>
            <w:vMerge w:val="restart"/>
            <w:tcBorders>
              <w:top w:val="single" w:sz="8" w:space="0" w:color="auto"/>
              <w:left w:val="single" w:sz="8" w:space="0" w:color="auto"/>
              <w:bottom w:val="single" w:sz="8" w:space="0" w:color="000000"/>
              <w:right w:val="single" w:sz="8" w:space="0" w:color="auto"/>
            </w:tcBorders>
            <w:shd w:val="clear" w:color="000000" w:fill="99CCFF"/>
            <w:noWrap/>
            <w:vAlign w:val="bottom"/>
            <w:hideMark/>
          </w:tcPr>
          <w:p w:rsidR="00A10867" w:rsidRPr="00A10867" w:rsidRDefault="00A10867" w:rsidP="00A10867">
            <w:pPr>
              <w:jc w:val="center"/>
              <w:rPr>
                <w:rFonts w:cs="Arial"/>
                <w:sz w:val="18"/>
                <w:szCs w:val="18"/>
              </w:rPr>
            </w:pPr>
            <w:r w:rsidRPr="00A10867">
              <w:rPr>
                <w:rFonts w:cs="Arial"/>
                <w:sz w:val="18"/>
                <w:szCs w:val="18"/>
              </w:rPr>
              <w:t>Afvigelser</w:t>
            </w:r>
          </w:p>
        </w:tc>
      </w:tr>
      <w:tr w:rsidR="00A10867" w:rsidRPr="00A10867" w:rsidTr="00A10867">
        <w:trPr>
          <w:trHeight w:val="270"/>
          <w:jc w:val="center"/>
        </w:trPr>
        <w:tc>
          <w:tcPr>
            <w:tcW w:w="2242" w:type="dxa"/>
            <w:vMerge/>
            <w:tcBorders>
              <w:top w:val="single" w:sz="8" w:space="0" w:color="auto"/>
              <w:left w:val="single" w:sz="8" w:space="0" w:color="auto"/>
              <w:bottom w:val="single" w:sz="8" w:space="0" w:color="000000"/>
              <w:right w:val="single" w:sz="8" w:space="0" w:color="auto"/>
            </w:tcBorders>
            <w:vAlign w:val="center"/>
            <w:hideMark/>
          </w:tcPr>
          <w:p w:rsidR="00A10867" w:rsidRPr="00A10867" w:rsidRDefault="00A10867" w:rsidP="00A10867">
            <w:pPr>
              <w:rPr>
                <w:rFonts w:cs="Arial"/>
                <w:sz w:val="18"/>
                <w:szCs w:val="18"/>
              </w:rPr>
            </w:pPr>
          </w:p>
        </w:tc>
        <w:tc>
          <w:tcPr>
            <w:tcW w:w="1467" w:type="dxa"/>
            <w:tcBorders>
              <w:top w:val="nil"/>
              <w:left w:val="nil"/>
              <w:bottom w:val="single" w:sz="8" w:space="0" w:color="auto"/>
              <w:right w:val="single" w:sz="8" w:space="0" w:color="auto"/>
            </w:tcBorders>
            <w:shd w:val="clear" w:color="000000" w:fill="99CCFF"/>
            <w:noWrap/>
            <w:vAlign w:val="bottom"/>
            <w:hideMark/>
          </w:tcPr>
          <w:p w:rsidR="00A10867" w:rsidRPr="00A10867" w:rsidRDefault="00A10867" w:rsidP="00A10867">
            <w:pPr>
              <w:jc w:val="center"/>
              <w:rPr>
                <w:rFonts w:cs="Arial"/>
                <w:sz w:val="18"/>
                <w:szCs w:val="18"/>
              </w:rPr>
            </w:pPr>
            <w:r w:rsidRPr="00A10867">
              <w:rPr>
                <w:rFonts w:cs="Arial"/>
                <w:sz w:val="18"/>
                <w:szCs w:val="18"/>
              </w:rPr>
              <w:t>budget 2013</w:t>
            </w:r>
          </w:p>
        </w:tc>
        <w:tc>
          <w:tcPr>
            <w:tcW w:w="1467" w:type="dxa"/>
            <w:tcBorders>
              <w:top w:val="nil"/>
              <w:left w:val="nil"/>
              <w:bottom w:val="single" w:sz="8" w:space="0" w:color="auto"/>
              <w:right w:val="single" w:sz="8" w:space="0" w:color="auto"/>
            </w:tcBorders>
            <w:shd w:val="clear" w:color="000000" w:fill="99CCFF"/>
            <w:noWrap/>
            <w:vAlign w:val="bottom"/>
            <w:hideMark/>
          </w:tcPr>
          <w:p w:rsidR="00A10867" w:rsidRPr="00A10867" w:rsidRDefault="00A10867" w:rsidP="00A10867">
            <w:pPr>
              <w:jc w:val="center"/>
              <w:rPr>
                <w:rFonts w:cs="Arial"/>
                <w:sz w:val="18"/>
                <w:szCs w:val="18"/>
              </w:rPr>
            </w:pPr>
            <w:r w:rsidRPr="00A10867">
              <w:rPr>
                <w:rFonts w:cs="Arial"/>
                <w:sz w:val="18"/>
                <w:szCs w:val="18"/>
              </w:rPr>
              <w:t>budget 2013</w:t>
            </w:r>
          </w:p>
        </w:tc>
        <w:tc>
          <w:tcPr>
            <w:tcW w:w="1467" w:type="dxa"/>
            <w:tcBorders>
              <w:top w:val="nil"/>
              <w:left w:val="nil"/>
              <w:bottom w:val="single" w:sz="8" w:space="0" w:color="auto"/>
              <w:right w:val="single" w:sz="8" w:space="0" w:color="auto"/>
            </w:tcBorders>
            <w:shd w:val="clear" w:color="000000" w:fill="99CCFF"/>
            <w:noWrap/>
            <w:vAlign w:val="bottom"/>
            <w:hideMark/>
          </w:tcPr>
          <w:p w:rsidR="00A10867" w:rsidRPr="00A10867" w:rsidRDefault="00A10867" w:rsidP="00A10867">
            <w:pPr>
              <w:jc w:val="center"/>
              <w:rPr>
                <w:rFonts w:cs="Arial"/>
                <w:sz w:val="20"/>
                <w:szCs w:val="20"/>
              </w:rPr>
            </w:pPr>
            <w:r w:rsidRPr="00A10867">
              <w:rPr>
                <w:rFonts w:cs="Arial"/>
                <w:sz w:val="20"/>
                <w:szCs w:val="20"/>
              </w:rPr>
              <w:t>pr. 31.08.2013</w:t>
            </w:r>
          </w:p>
        </w:tc>
        <w:tc>
          <w:tcPr>
            <w:tcW w:w="1467" w:type="dxa"/>
            <w:tcBorders>
              <w:top w:val="nil"/>
              <w:left w:val="nil"/>
              <w:bottom w:val="single" w:sz="8" w:space="0" w:color="auto"/>
              <w:right w:val="single" w:sz="8" w:space="0" w:color="auto"/>
            </w:tcBorders>
            <w:shd w:val="clear" w:color="000000" w:fill="99CCFF"/>
            <w:noWrap/>
            <w:vAlign w:val="bottom"/>
            <w:hideMark/>
          </w:tcPr>
          <w:p w:rsidR="00A10867" w:rsidRPr="00A10867" w:rsidRDefault="00A10867" w:rsidP="00A10867">
            <w:pPr>
              <w:jc w:val="center"/>
              <w:rPr>
                <w:rFonts w:cs="Arial"/>
                <w:sz w:val="18"/>
                <w:szCs w:val="18"/>
              </w:rPr>
            </w:pPr>
            <w:r w:rsidRPr="00A10867">
              <w:rPr>
                <w:rFonts w:cs="Arial"/>
                <w:sz w:val="18"/>
                <w:szCs w:val="18"/>
              </w:rPr>
              <w:t>regnskab 2013</w:t>
            </w:r>
          </w:p>
        </w:tc>
        <w:tc>
          <w:tcPr>
            <w:tcW w:w="1467" w:type="dxa"/>
            <w:vMerge/>
            <w:tcBorders>
              <w:top w:val="single" w:sz="8" w:space="0" w:color="auto"/>
              <w:left w:val="single" w:sz="8" w:space="0" w:color="auto"/>
              <w:bottom w:val="single" w:sz="8" w:space="0" w:color="000000"/>
              <w:right w:val="single" w:sz="8" w:space="0" w:color="auto"/>
            </w:tcBorders>
            <w:vAlign w:val="center"/>
            <w:hideMark/>
          </w:tcPr>
          <w:p w:rsidR="00A10867" w:rsidRPr="00A10867" w:rsidRDefault="00A10867" w:rsidP="00A10867">
            <w:pPr>
              <w:rPr>
                <w:rFonts w:cs="Arial"/>
                <w:sz w:val="18"/>
                <w:szCs w:val="18"/>
              </w:rPr>
            </w:pPr>
          </w:p>
        </w:tc>
      </w:tr>
      <w:tr w:rsidR="00A10867" w:rsidRPr="00A10867" w:rsidTr="00A10867">
        <w:trPr>
          <w:trHeight w:val="255"/>
          <w:jc w:val="center"/>
        </w:trPr>
        <w:tc>
          <w:tcPr>
            <w:tcW w:w="2242" w:type="dxa"/>
            <w:tcBorders>
              <w:top w:val="nil"/>
              <w:left w:val="single" w:sz="8" w:space="0" w:color="000000"/>
              <w:bottom w:val="nil"/>
              <w:right w:val="single" w:sz="8" w:space="0" w:color="auto"/>
            </w:tcBorders>
            <w:shd w:val="clear" w:color="auto" w:fill="auto"/>
            <w:noWrap/>
            <w:vAlign w:val="bottom"/>
            <w:hideMark/>
          </w:tcPr>
          <w:p w:rsidR="00A10867" w:rsidRPr="00A10867" w:rsidRDefault="00A10867" w:rsidP="00A10867">
            <w:pPr>
              <w:rPr>
                <w:rFonts w:cs="Arial"/>
                <w:sz w:val="16"/>
                <w:szCs w:val="16"/>
              </w:rPr>
            </w:pPr>
            <w:r w:rsidRPr="00A10867">
              <w:rPr>
                <w:rFonts w:cs="Arial"/>
                <w:sz w:val="16"/>
                <w:szCs w:val="16"/>
              </w:rPr>
              <w:t>35 Handicap og psykiatri</w:t>
            </w:r>
          </w:p>
        </w:tc>
        <w:tc>
          <w:tcPr>
            <w:tcW w:w="1467" w:type="dxa"/>
            <w:tcBorders>
              <w:top w:val="nil"/>
              <w:left w:val="nil"/>
              <w:bottom w:val="nil"/>
              <w:right w:val="single" w:sz="8" w:space="0" w:color="auto"/>
            </w:tcBorders>
            <w:shd w:val="clear" w:color="auto" w:fill="auto"/>
            <w:noWrap/>
            <w:vAlign w:val="bottom"/>
            <w:hideMark/>
          </w:tcPr>
          <w:p w:rsidR="00A10867" w:rsidRPr="00A10867" w:rsidRDefault="00A10867" w:rsidP="00A10867">
            <w:pPr>
              <w:jc w:val="right"/>
              <w:rPr>
                <w:rFonts w:cs="Arial"/>
                <w:sz w:val="18"/>
                <w:szCs w:val="18"/>
              </w:rPr>
            </w:pPr>
            <w:r w:rsidRPr="00A10867">
              <w:rPr>
                <w:rFonts w:cs="Arial"/>
                <w:sz w:val="18"/>
                <w:szCs w:val="18"/>
              </w:rPr>
              <w:t>225.746</w:t>
            </w:r>
          </w:p>
        </w:tc>
        <w:tc>
          <w:tcPr>
            <w:tcW w:w="1467" w:type="dxa"/>
            <w:tcBorders>
              <w:top w:val="nil"/>
              <w:left w:val="nil"/>
              <w:bottom w:val="nil"/>
              <w:right w:val="single" w:sz="8" w:space="0" w:color="auto"/>
            </w:tcBorders>
            <w:shd w:val="clear" w:color="auto" w:fill="auto"/>
            <w:noWrap/>
            <w:vAlign w:val="bottom"/>
            <w:hideMark/>
          </w:tcPr>
          <w:p w:rsidR="00A10867" w:rsidRPr="00A10867" w:rsidRDefault="00A10867" w:rsidP="00A10867">
            <w:pPr>
              <w:jc w:val="right"/>
              <w:rPr>
                <w:rFonts w:cs="Arial"/>
                <w:sz w:val="18"/>
                <w:szCs w:val="18"/>
              </w:rPr>
            </w:pPr>
            <w:r w:rsidRPr="00A10867">
              <w:rPr>
                <w:rFonts w:cs="Arial"/>
                <w:sz w:val="18"/>
                <w:szCs w:val="18"/>
              </w:rPr>
              <w:t>223.965</w:t>
            </w:r>
          </w:p>
        </w:tc>
        <w:tc>
          <w:tcPr>
            <w:tcW w:w="1467" w:type="dxa"/>
            <w:tcBorders>
              <w:top w:val="nil"/>
              <w:left w:val="nil"/>
              <w:bottom w:val="nil"/>
              <w:right w:val="single" w:sz="8" w:space="0" w:color="auto"/>
            </w:tcBorders>
            <w:shd w:val="clear" w:color="auto" w:fill="auto"/>
            <w:noWrap/>
            <w:vAlign w:val="bottom"/>
            <w:hideMark/>
          </w:tcPr>
          <w:p w:rsidR="00A10867" w:rsidRPr="00A10867" w:rsidRDefault="00A10867" w:rsidP="00A10867">
            <w:pPr>
              <w:jc w:val="right"/>
              <w:rPr>
                <w:rFonts w:cs="Arial"/>
                <w:sz w:val="18"/>
                <w:szCs w:val="18"/>
              </w:rPr>
            </w:pPr>
            <w:r w:rsidRPr="00A10867">
              <w:rPr>
                <w:rFonts w:cs="Arial"/>
                <w:sz w:val="18"/>
                <w:szCs w:val="18"/>
              </w:rPr>
              <w:t>144.221</w:t>
            </w:r>
          </w:p>
        </w:tc>
        <w:tc>
          <w:tcPr>
            <w:tcW w:w="1467" w:type="dxa"/>
            <w:tcBorders>
              <w:top w:val="nil"/>
              <w:left w:val="nil"/>
              <w:bottom w:val="nil"/>
              <w:right w:val="single" w:sz="8" w:space="0" w:color="auto"/>
            </w:tcBorders>
            <w:shd w:val="clear" w:color="auto" w:fill="auto"/>
            <w:noWrap/>
            <w:vAlign w:val="bottom"/>
            <w:hideMark/>
          </w:tcPr>
          <w:p w:rsidR="00A10867" w:rsidRPr="00A10867" w:rsidRDefault="00A10867" w:rsidP="00A10867">
            <w:pPr>
              <w:jc w:val="right"/>
              <w:rPr>
                <w:rFonts w:cs="Arial"/>
                <w:sz w:val="18"/>
                <w:szCs w:val="18"/>
              </w:rPr>
            </w:pPr>
            <w:r w:rsidRPr="00A10867">
              <w:rPr>
                <w:rFonts w:cs="Arial"/>
                <w:sz w:val="18"/>
                <w:szCs w:val="18"/>
              </w:rPr>
              <w:t>218.965</w:t>
            </w:r>
          </w:p>
        </w:tc>
        <w:tc>
          <w:tcPr>
            <w:tcW w:w="1467" w:type="dxa"/>
            <w:tcBorders>
              <w:top w:val="nil"/>
              <w:left w:val="nil"/>
              <w:bottom w:val="nil"/>
              <w:right w:val="single" w:sz="8" w:space="0" w:color="auto"/>
            </w:tcBorders>
            <w:shd w:val="clear" w:color="auto" w:fill="auto"/>
            <w:noWrap/>
            <w:vAlign w:val="bottom"/>
            <w:hideMark/>
          </w:tcPr>
          <w:p w:rsidR="00A10867" w:rsidRPr="00A10867" w:rsidRDefault="00A10867" w:rsidP="00A10867">
            <w:pPr>
              <w:jc w:val="right"/>
              <w:rPr>
                <w:rFonts w:cs="Arial"/>
                <w:sz w:val="18"/>
                <w:szCs w:val="18"/>
              </w:rPr>
            </w:pPr>
            <w:r w:rsidRPr="00A10867">
              <w:rPr>
                <w:rFonts w:cs="Arial"/>
                <w:sz w:val="18"/>
                <w:szCs w:val="18"/>
              </w:rPr>
              <w:t>5.000</w:t>
            </w:r>
          </w:p>
        </w:tc>
      </w:tr>
      <w:tr w:rsidR="00A10867" w:rsidRPr="00A10867" w:rsidTr="00A10867">
        <w:trPr>
          <w:trHeight w:val="255"/>
          <w:jc w:val="center"/>
        </w:trPr>
        <w:tc>
          <w:tcPr>
            <w:tcW w:w="2242" w:type="dxa"/>
            <w:tcBorders>
              <w:top w:val="nil"/>
              <w:left w:val="single" w:sz="8" w:space="0" w:color="000000"/>
              <w:bottom w:val="nil"/>
              <w:right w:val="single" w:sz="8" w:space="0" w:color="auto"/>
            </w:tcBorders>
            <w:shd w:val="clear" w:color="auto" w:fill="auto"/>
            <w:noWrap/>
            <w:vAlign w:val="bottom"/>
            <w:hideMark/>
          </w:tcPr>
          <w:p w:rsidR="00A10867" w:rsidRPr="00A10867" w:rsidRDefault="00A10867" w:rsidP="00A10867">
            <w:pPr>
              <w:rPr>
                <w:rFonts w:cs="Arial"/>
                <w:sz w:val="16"/>
                <w:szCs w:val="16"/>
              </w:rPr>
            </w:pPr>
            <w:r w:rsidRPr="00A10867">
              <w:rPr>
                <w:rFonts w:cs="Arial"/>
                <w:sz w:val="16"/>
                <w:szCs w:val="16"/>
              </w:rPr>
              <w:t>37 Sociale tilbud</w:t>
            </w:r>
          </w:p>
        </w:tc>
        <w:tc>
          <w:tcPr>
            <w:tcW w:w="1467" w:type="dxa"/>
            <w:tcBorders>
              <w:top w:val="nil"/>
              <w:left w:val="nil"/>
              <w:bottom w:val="nil"/>
              <w:right w:val="single" w:sz="8" w:space="0" w:color="auto"/>
            </w:tcBorders>
            <w:shd w:val="clear" w:color="auto" w:fill="auto"/>
            <w:noWrap/>
            <w:vAlign w:val="bottom"/>
            <w:hideMark/>
          </w:tcPr>
          <w:p w:rsidR="00A10867" w:rsidRPr="00A10867" w:rsidRDefault="00A10867" w:rsidP="00A10867">
            <w:pPr>
              <w:jc w:val="right"/>
              <w:rPr>
                <w:rFonts w:cs="Arial"/>
                <w:sz w:val="18"/>
                <w:szCs w:val="18"/>
              </w:rPr>
            </w:pPr>
            <w:r w:rsidRPr="00A10867">
              <w:rPr>
                <w:rFonts w:cs="Arial"/>
                <w:sz w:val="18"/>
                <w:szCs w:val="18"/>
              </w:rPr>
              <w:t>21.638</w:t>
            </w:r>
          </w:p>
        </w:tc>
        <w:tc>
          <w:tcPr>
            <w:tcW w:w="1467" w:type="dxa"/>
            <w:tcBorders>
              <w:top w:val="nil"/>
              <w:left w:val="nil"/>
              <w:bottom w:val="nil"/>
              <w:right w:val="single" w:sz="8" w:space="0" w:color="auto"/>
            </w:tcBorders>
            <w:shd w:val="clear" w:color="auto" w:fill="auto"/>
            <w:noWrap/>
            <w:vAlign w:val="bottom"/>
            <w:hideMark/>
          </w:tcPr>
          <w:p w:rsidR="00A10867" w:rsidRPr="00A10867" w:rsidRDefault="00A10867" w:rsidP="00A10867">
            <w:pPr>
              <w:jc w:val="right"/>
              <w:rPr>
                <w:rFonts w:cs="Arial"/>
                <w:sz w:val="18"/>
                <w:szCs w:val="18"/>
              </w:rPr>
            </w:pPr>
            <w:r w:rsidRPr="00A10867">
              <w:rPr>
                <w:rFonts w:cs="Arial"/>
                <w:sz w:val="18"/>
                <w:szCs w:val="18"/>
              </w:rPr>
              <w:t>24.278</w:t>
            </w:r>
          </w:p>
        </w:tc>
        <w:tc>
          <w:tcPr>
            <w:tcW w:w="1467" w:type="dxa"/>
            <w:tcBorders>
              <w:top w:val="nil"/>
              <w:left w:val="nil"/>
              <w:bottom w:val="nil"/>
              <w:right w:val="single" w:sz="8" w:space="0" w:color="auto"/>
            </w:tcBorders>
            <w:shd w:val="clear" w:color="auto" w:fill="auto"/>
            <w:noWrap/>
            <w:vAlign w:val="bottom"/>
            <w:hideMark/>
          </w:tcPr>
          <w:p w:rsidR="00A10867" w:rsidRPr="00A10867" w:rsidRDefault="00A10867" w:rsidP="00A10867">
            <w:pPr>
              <w:jc w:val="right"/>
              <w:rPr>
                <w:rFonts w:cs="Arial"/>
                <w:sz w:val="18"/>
                <w:szCs w:val="18"/>
              </w:rPr>
            </w:pPr>
            <w:r w:rsidRPr="00A10867">
              <w:rPr>
                <w:rFonts w:cs="Arial"/>
                <w:sz w:val="18"/>
                <w:szCs w:val="18"/>
              </w:rPr>
              <w:t>14.703</w:t>
            </w:r>
          </w:p>
        </w:tc>
        <w:tc>
          <w:tcPr>
            <w:tcW w:w="1467" w:type="dxa"/>
            <w:tcBorders>
              <w:top w:val="nil"/>
              <w:left w:val="nil"/>
              <w:bottom w:val="nil"/>
              <w:right w:val="single" w:sz="8" w:space="0" w:color="auto"/>
            </w:tcBorders>
            <w:shd w:val="clear" w:color="auto" w:fill="auto"/>
            <w:noWrap/>
            <w:vAlign w:val="bottom"/>
            <w:hideMark/>
          </w:tcPr>
          <w:p w:rsidR="00A10867" w:rsidRPr="00A10867" w:rsidRDefault="00A10867" w:rsidP="00A10867">
            <w:pPr>
              <w:jc w:val="right"/>
              <w:rPr>
                <w:rFonts w:cs="Arial"/>
                <w:sz w:val="18"/>
                <w:szCs w:val="18"/>
              </w:rPr>
            </w:pPr>
            <w:r w:rsidRPr="00A10867">
              <w:rPr>
                <w:rFonts w:cs="Arial"/>
                <w:sz w:val="18"/>
                <w:szCs w:val="18"/>
              </w:rPr>
              <w:t>22.278</w:t>
            </w:r>
          </w:p>
        </w:tc>
        <w:tc>
          <w:tcPr>
            <w:tcW w:w="1467" w:type="dxa"/>
            <w:tcBorders>
              <w:top w:val="nil"/>
              <w:left w:val="nil"/>
              <w:bottom w:val="nil"/>
              <w:right w:val="single" w:sz="8" w:space="0" w:color="auto"/>
            </w:tcBorders>
            <w:shd w:val="clear" w:color="auto" w:fill="auto"/>
            <w:noWrap/>
            <w:vAlign w:val="bottom"/>
            <w:hideMark/>
          </w:tcPr>
          <w:p w:rsidR="00A10867" w:rsidRPr="00A10867" w:rsidRDefault="00A10867" w:rsidP="00A10867">
            <w:pPr>
              <w:jc w:val="right"/>
              <w:rPr>
                <w:rFonts w:cs="Arial"/>
                <w:sz w:val="18"/>
                <w:szCs w:val="18"/>
              </w:rPr>
            </w:pPr>
            <w:r w:rsidRPr="00A10867">
              <w:rPr>
                <w:rFonts w:cs="Arial"/>
                <w:sz w:val="18"/>
                <w:szCs w:val="18"/>
              </w:rPr>
              <w:t>2.000</w:t>
            </w:r>
          </w:p>
        </w:tc>
      </w:tr>
      <w:tr w:rsidR="00A10867" w:rsidRPr="00A10867" w:rsidTr="00A10867">
        <w:trPr>
          <w:trHeight w:val="270"/>
          <w:jc w:val="center"/>
        </w:trPr>
        <w:tc>
          <w:tcPr>
            <w:tcW w:w="2242" w:type="dxa"/>
            <w:tcBorders>
              <w:top w:val="nil"/>
              <w:left w:val="single" w:sz="8" w:space="0" w:color="000000"/>
              <w:bottom w:val="single" w:sz="8" w:space="0" w:color="auto"/>
              <w:right w:val="single" w:sz="8" w:space="0" w:color="auto"/>
            </w:tcBorders>
            <w:shd w:val="clear" w:color="auto" w:fill="auto"/>
            <w:noWrap/>
            <w:vAlign w:val="bottom"/>
            <w:hideMark/>
          </w:tcPr>
          <w:p w:rsidR="00A10867" w:rsidRPr="00A10867" w:rsidRDefault="00A10867" w:rsidP="00A10867">
            <w:pPr>
              <w:rPr>
                <w:rFonts w:cs="Arial"/>
                <w:sz w:val="16"/>
                <w:szCs w:val="16"/>
              </w:rPr>
            </w:pPr>
            <w:r w:rsidRPr="00A10867">
              <w:rPr>
                <w:rFonts w:cs="Arial"/>
                <w:sz w:val="16"/>
                <w:szCs w:val="16"/>
              </w:rPr>
              <w:t>38 Forsørgelsesydelser</w:t>
            </w:r>
          </w:p>
        </w:tc>
        <w:tc>
          <w:tcPr>
            <w:tcW w:w="1467" w:type="dxa"/>
            <w:tcBorders>
              <w:top w:val="nil"/>
              <w:left w:val="nil"/>
              <w:bottom w:val="single" w:sz="8" w:space="0" w:color="auto"/>
              <w:right w:val="single" w:sz="8" w:space="0" w:color="auto"/>
            </w:tcBorders>
            <w:shd w:val="clear" w:color="auto" w:fill="auto"/>
            <w:noWrap/>
            <w:vAlign w:val="bottom"/>
            <w:hideMark/>
          </w:tcPr>
          <w:p w:rsidR="00A10867" w:rsidRPr="00A10867" w:rsidRDefault="00A10867" w:rsidP="00A10867">
            <w:pPr>
              <w:jc w:val="right"/>
              <w:rPr>
                <w:rFonts w:cs="Arial"/>
                <w:sz w:val="18"/>
                <w:szCs w:val="18"/>
              </w:rPr>
            </w:pPr>
            <w:r w:rsidRPr="00A10867">
              <w:rPr>
                <w:rFonts w:cs="Arial"/>
                <w:sz w:val="18"/>
                <w:szCs w:val="18"/>
              </w:rPr>
              <w:t>230.971</w:t>
            </w:r>
          </w:p>
        </w:tc>
        <w:tc>
          <w:tcPr>
            <w:tcW w:w="1467" w:type="dxa"/>
            <w:tcBorders>
              <w:top w:val="nil"/>
              <w:left w:val="nil"/>
              <w:bottom w:val="single" w:sz="8" w:space="0" w:color="auto"/>
              <w:right w:val="single" w:sz="8" w:space="0" w:color="auto"/>
            </w:tcBorders>
            <w:shd w:val="clear" w:color="auto" w:fill="auto"/>
            <w:noWrap/>
            <w:vAlign w:val="bottom"/>
            <w:hideMark/>
          </w:tcPr>
          <w:p w:rsidR="00A10867" w:rsidRPr="00A10867" w:rsidRDefault="00A10867" w:rsidP="00A10867">
            <w:pPr>
              <w:jc w:val="right"/>
              <w:rPr>
                <w:rFonts w:cs="Arial"/>
                <w:sz w:val="18"/>
                <w:szCs w:val="18"/>
              </w:rPr>
            </w:pPr>
            <w:r w:rsidRPr="00A10867">
              <w:rPr>
                <w:rFonts w:cs="Arial"/>
                <w:sz w:val="18"/>
                <w:szCs w:val="18"/>
              </w:rPr>
              <w:t>230.971</w:t>
            </w:r>
          </w:p>
        </w:tc>
        <w:tc>
          <w:tcPr>
            <w:tcW w:w="1467" w:type="dxa"/>
            <w:tcBorders>
              <w:top w:val="nil"/>
              <w:left w:val="nil"/>
              <w:bottom w:val="single" w:sz="8" w:space="0" w:color="auto"/>
              <w:right w:val="single" w:sz="8" w:space="0" w:color="auto"/>
            </w:tcBorders>
            <w:shd w:val="clear" w:color="auto" w:fill="auto"/>
            <w:noWrap/>
            <w:vAlign w:val="bottom"/>
            <w:hideMark/>
          </w:tcPr>
          <w:p w:rsidR="00A10867" w:rsidRPr="00A10867" w:rsidRDefault="00A10867" w:rsidP="00A10867">
            <w:pPr>
              <w:jc w:val="right"/>
              <w:rPr>
                <w:rFonts w:cs="Arial"/>
                <w:sz w:val="18"/>
                <w:szCs w:val="18"/>
              </w:rPr>
            </w:pPr>
            <w:r w:rsidRPr="00A10867">
              <w:rPr>
                <w:rFonts w:cs="Arial"/>
                <w:sz w:val="18"/>
                <w:szCs w:val="18"/>
              </w:rPr>
              <w:t>130.003</w:t>
            </w:r>
          </w:p>
        </w:tc>
        <w:tc>
          <w:tcPr>
            <w:tcW w:w="1467" w:type="dxa"/>
            <w:tcBorders>
              <w:top w:val="nil"/>
              <w:left w:val="nil"/>
              <w:bottom w:val="single" w:sz="8" w:space="0" w:color="auto"/>
              <w:right w:val="single" w:sz="8" w:space="0" w:color="auto"/>
            </w:tcBorders>
            <w:shd w:val="clear" w:color="auto" w:fill="auto"/>
            <w:noWrap/>
            <w:vAlign w:val="bottom"/>
            <w:hideMark/>
          </w:tcPr>
          <w:p w:rsidR="00A10867" w:rsidRPr="00A10867" w:rsidRDefault="00A10867" w:rsidP="00A10867">
            <w:pPr>
              <w:jc w:val="right"/>
              <w:rPr>
                <w:rFonts w:cs="Arial"/>
                <w:sz w:val="18"/>
                <w:szCs w:val="18"/>
              </w:rPr>
            </w:pPr>
            <w:r w:rsidRPr="00A10867">
              <w:rPr>
                <w:rFonts w:cs="Arial"/>
                <w:sz w:val="18"/>
                <w:szCs w:val="18"/>
              </w:rPr>
              <w:t>222.971</w:t>
            </w:r>
          </w:p>
        </w:tc>
        <w:tc>
          <w:tcPr>
            <w:tcW w:w="1467" w:type="dxa"/>
            <w:tcBorders>
              <w:top w:val="nil"/>
              <w:left w:val="nil"/>
              <w:bottom w:val="single" w:sz="8" w:space="0" w:color="auto"/>
              <w:right w:val="single" w:sz="8" w:space="0" w:color="auto"/>
            </w:tcBorders>
            <w:shd w:val="clear" w:color="auto" w:fill="auto"/>
            <w:noWrap/>
            <w:vAlign w:val="bottom"/>
            <w:hideMark/>
          </w:tcPr>
          <w:p w:rsidR="00A10867" w:rsidRPr="00A10867" w:rsidRDefault="00A10867" w:rsidP="00A10867">
            <w:pPr>
              <w:jc w:val="right"/>
              <w:rPr>
                <w:rFonts w:cs="Arial"/>
                <w:sz w:val="18"/>
                <w:szCs w:val="18"/>
              </w:rPr>
            </w:pPr>
            <w:r w:rsidRPr="00A10867">
              <w:rPr>
                <w:rFonts w:cs="Arial"/>
                <w:sz w:val="18"/>
                <w:szCs w:val="18"/>
              </w:rPr>
              <w:t>8.000</w:t>
            </w:r>
          </w:p>
        </w:tc>
      </w:tr>
      <w:tr w:rsidR="00A10867" w:rsidRPr="00A10867" w:rsidTr="00A10867">
        <w:trPr>
          <w:trHeight w:val="270"/>
          <w:jc w:val="center"/>
        </w:trPr>
        <w:tc>
          <w:tcPr>
            <w:tcW w:w="2242" w:type="dxa"/>
            <w:tcBorders>
              <w:top w:val="nil"/>
              <w:left w:val="single" w:sz="8" w:space="0" w:color="auto"/>
              <w:bottom w:val="single" w:sz="8" w:space="0" w:color="auto"/>
              <w:right w:val="single" w:sz="8" w:space="0" w:color="auto"/>
            </w:tcBorders>
            <w:shd w:val="clear" w:color="000000" w:fill="99CCFF"/>
            <w:noWrap/>
            <w:vAlign w:val="bottom"/>
            <w:hideMark/>
          </w:tcPr>
          <w:p w:rsidR="00A10867" w:rsidRPr="00A10867" w:rsidRDefault="00A10867" w:rsidP="00A10867">
            <w:pPr>
              <w:rPr>
                <w:rFonts w:cs="Arial"/>
                <w:sz w:val="18"/>
                <w:szCs w:val="18"/>
              </w:rPr>
            </w:pPr>
            <w:r w:rsidRPr="00A10867">
              <w:rPr>
                <w:rFonts w:cs="Arial"/>
                <w:sz w:val="18"/>
                <w:szCs w:val="18"/>
              </w:rPr>
              <w:t xml:space="preserve">Driftsudgifter i alt </w:t>
            </w:r>
          </w:p>
        </w:tc>
        <w:tc>
          <w:tcPr>
            <w:tcW w:w="1467" w:type="dxa"/>
            <w:tcBorders>
              <w:top w:val="nil"/>
              <w:left w:val="nil"/>
              <w:bottom w:val="single" w:sz="8" w:space="0" w:color="auto"/>
              <w:right w:val="single" w:sz="8" w:space="0" w:color="auto"/>
            </w:tcBorders>
            <w:shd w:val="clear" w:color="000000" w:fill="99CCFF"/>
            <w:noWrap/>
            <w:vAlign w:val="bottom"/>
            <w:hideMark/>
          </w:tcPr>
          <w:p w:rsidR="00A10867" w:rsidRPr="00A10867" w:rsidRDefault="00A10867" w:rsidP="00A10867">
            <w:pPr>
              <w:jc w:val="right"/>
              <w:rPr>
                <w:rFonts w:cs="Arial"/>
                <w:sz w:val="18"/>
                <w:szCs w:val="18"/>
              </w:rPr>
            </w:pPr>
            <w:r w:rsidRPr="00A10867">
              <w:rPr>
                <w:rFonts w:cs="Arial"/>
                <w:sz w:val="18"/>
                <w:szCs w:val="18"/>
              </w:rPr>
              <w:t>478.355</w:t>
            </w:r>
          </w:p>
        </w:tc>
        <w:tc>
          <w:tcPr>
            <w:tcW w:w="1467" w:type="dxa"/>
            <w:tcBorders>
              <w:top w:val="nil"/>
              <w:left w:val="nil"/>
              <w:bottom w:val="single" w:sz="8" w:space="0" w:color="auto"/>
              <w:right w:val="single" w:sz="8" w:space="0" w:color="auto"/>
            </w:tcBorders>
            <w:shd w:val="clear" w:color="000000" w:fill="99CCFF"/>
            <w:noWrap/>
            <w:vAlign w:val="bottom"/>
            <w:hideMark/>
          </w:tcPr>
          <w:p w:rsidR="00A10867" w:rsidRPr="00A10867" w:rsidRDefault="00A10867" w:rsidP="00A10867">
            <w:pPr>
              <w:jc w:val="right"/>
              <w:rPr>
                <w:rFonts w:cs="Arial"/>
                <w:sz w:val="18"/>
                <w:szCs w:val="18"/>
              </w:rPr>
            </w:pPr>
            <w:r w:rsidRPr="00A10867">
              <w:rPr>
                <w:rFonts w:cs="Arial"/>
                <w:sz w:val="18"/>
                <w:szCs w:val="18"/>
              </w:rPr>
              <w:t>479.214</w:t>
            </w:r>
          </w:p>
        </w:tc>
        <w:tc>
          <w:tcPr>
            <w:tcW w:w="1467" w:type="dxa"/>
            <w:tcBorders>
              <w:top w:val="nil"/>
              <w:left w:val="nil"/>
              <w:bottom w:val="single" w:sz="8" w:space="0" w:color="auto"/>
              <w:right w:val="single" w:sz="8" w:space="0" w:color="auto"/>
            </w:tcBorders>
            <w:shd w:val="clear" w:color="000000" w:fill="99CCFF"/>
            <w:noWrap/>
            <w:vAlign w:val="bottom"/>
            <w:hideMark/>
          </w:tcPr>
          <w:p w:rsidR="00A10867" w:rsidRPr="00A10867" w:rsidRDefault="00A10867" w:rsidP="00A10867">
            <w:pPr>
              <w:jc w:val="right"/>
              <w:rPr>
                <w:rFonts w:cs="Arial"/>
                <w:sz w:val="18"/>
                <w:szCs w:val="18"/>
              </w:rPr>
            </w:pPr>
            <w:r w:rsidRPr="00A10867">
              <w:rPr>
                <w:rFonts w:cs="Arial"/>
                <w:sz w:val="18"/>
                <w:szCs w:val="18"/>
              </w:rPr>
              <w:t>288.927</w:t>
            </w:r>
          </w:p>
        </w:tc>
        <w:tc>
          <w:tcPr>
            <w:tcW w:w="1467" w:type="dxa"/>
            <w:tcBorders>
              <w:top w:val="nil"/>
              <w:left w:val="nil"/>
              <w:bottom w:val="single" w:sz="8" w:space="0" w:color="auto"/>
              <w:right w:val="single" w:sz="8" w:space="0" w:color="auto"/>
            </w:tcBorders>
            <w:shd w:val="clear" w:color="000000" w:fill="99CCFF"/>
            <w:noWrap/>
            <w:vAlign w:val="bottom"/>
            <w:hideMark/>
          </w:tcPr>
          <w:p w:rsidR="00A10867" w:rsidRPr="00A10867" w:rsidRDefault="00A10867" w:rsidP="00A10867">
            <w:pPr>
              <w:jc w:val="right"/>
              <w:rPr>
                <w:rFonts w:cs="Arial"/>
                <w:sz w:val="18"/>
                <w:szCs w:val="18"/>
              </w:rPr>
            </w:pPr>
            <w:r w:rsidRPr="00A10867">
              <w:rPr>
                <w:rFonts w:cs="Arial"/>
                <w:sz w:val="18"/>
                <w:szCs w:val="18"/>
              </w:rPr>
              <w:t>464.214</w:t>
            </w:r>
          </w:p>
        </w:tc>
        <w:tc>
          <w:tcPr>
            <w:tcW w:w="1467" w:type="dxa"/>
            <w:tcBorders>
              <w:top w:val="nil"/>
              <w:left w:val="nil"/>
              <w:bottom w:val="single" w:sz="8" w:space="0" w:color="auto"/>
              <w:right w:val="single" w:sz="8" w:space="0" w:color="auto"/>
            </w:tcBorders>
            <w:shd w:val="clear" w:color="000000" w:fill="99CCFF"/>
            <w:noWrap/>
            <w:vAlign w:val="bottom"/>
            <w:hideMark/>
          </w:tcPr>
          <w:p w:rsidR="00A10867" w:rsidRPr="00A10867" w:rsidRDefault="00A10867" w:rsidP="00A10867">
            <w:pPr>
              <w:jc w:val="right"/>
              <w:rPr>
                <w:rFonts w:cs="Arial"/>
                <w:sz w:val="18"/>
                <w:szCs w:val="18"/>
              </w:rPr>
            </w:pPr>
            <w:r w:rsidRPr="00A10867">
              <w:rPr>
                <w:rFonts w:cs="Arial"/>
                <w:sz w:val="18"/>
                <w:szCs w:val="18"/>
              </w:rPr>
              <w:t>15.000</w:t>
            </w:r>
          </w:p>
        </w:tc>
      </w:tr>
      <w:tr w:rsidR="00A10867" w:rsidRPr="00A10867" w:rsidTr="00A10867">
        <w:trPr>
          <w:trHeight w:val="270"/>
          <w:jc w:val="center"/>
        </w:trPr>
        <w:tc>
          <w:tcPr>
            <w:tcW w:w="2242" w:type="dxa"/>
            <w:tcBorders>
              <w:top w:val="nil"/>
              <w:left w:val="single" w:sz="8" w:space="0" w:color="auto"/>
              <w:bottom w:val="single" w:sz="8" w:space="0" w:color="auto"/>
              <w:right w:val="single" w:sz="8" w:space="0" w:color="auto"/>
            </w:tcBorders>
            <w:shd w:val="clear" w:color="000000" w:fill="99CCFF"/>
            <w:noWrap/>
            <w:vAlign w:val="bottom"/>
            <w:hideMark/>
          </w:tcPr>
          <w:p w:rsidR="00A10867" w:rsidRPr="00A10867" w:rsidRDefault="00A10867" w:rsidP="00A10867">
            <w:pPr>
              <w:rPr>
                <w:rFonts w:cs="Arial"/>
                <w:sz w:val="18"/>
                <w:szCs w:val="18"/>
              </w:rPr>
            </w:pPr>
            <w:r w:rsidRPr="00A10867">
              <w:rPr>
                <w:rFonts w:cs="Arial"/>
                <w:sz w:val="18"/>
                <w:szCs w:val="18"/>
              </w:rPr>
              <w:t>Heraf serviceudgifter</w:t>
            </w:r>
          </w:p>
        </w:tc>
        <w:tc>
          <w:tcPr>
            <w:tcW w:w="1467" w:type="dxa"/>
            <w:tcBorders>
              <w:top w:val="nil"/>
              <w:left w:val="nil"/>
              <w:bottom w:val="single" w:sz="8" w:space="0" w:color="auto"/>
              <w:right w:val="single" w:sz="8" w:space="0" w:color="auto"/>
            </w:tcBorders>
            <w:shd w:val="clear" w:color="000000" w:fill="99CCFF"/>
            <w:noWrap/>
            <w:vAlign w:val="bottom"/>
            <w:hideMark/>
          </w:tcPr>
          <w:p w:rsidR="00A10867" w:rsidRPr="00A10867" w:rsidRDefault="00A10867" w:rsidP="00A10867">
            <w:pPr>
              <w:jc w:val="right"/>
              <w:rPr>
                <w:rFonts w:cs="Arial"/>
                <w:sz w:val="18"/>
                <w:szCs w:val="18"/>
              </w:rPr>
            </w:pPr>
            <w:r w:rsidRPr="00A10867">
              <w:rPr>
                <w:rFonts w:cs="Arial"/>
                <w:sz w:val="18"/>
                <w:szCs w:val="18"/>
              </w:rPr>
              <w:t>258.187</w:t>
            </w:r>
          </w:p>
        </w:tc>
        <w:tc>
          <w:tcPr>
            <w:tcW w:w="1467" w:type="dxa"/>
            <w:tcBorders>
              <w:top w:val="nil"/>
              <w:left w:val="nil"/>
              <w:bottom w:val="single" w:sz="8" w:space="0" w:color="auto"/>
              <w:right w:val="single" w:sz="8" w:space="0" w:color="auto"/>
            </w:tcBorders>
            <w:shd w:val="clear" w:color="000000" w:fill="99CCFF"/>
            <w:noWrap/>
            <w:vAlign w:val="bottom"/>
            <w:hideMark/>
          </w:tcPr>
          <w:p w:rsidR="00A10867" w:rsidRPr="00A10867" w:rsidRDefault="00A10867" w:rsidP="00A10867">
            <w:pPr>
              <w:jc w:val="right"/>
              <w:rPr>
                <w:rFonts w:cs="Arial"/>
                <w:sz w:val="18"/>
                <w:szCs w:val="18"/>
              </w:rPr>
            </w:pPr>
            <w:r w:rsidRPr="00A10867">
              <w:rPr>
                <w:rFonts w:cs="Arial"/>
                <w:sz w:val="18"/>
                <w:szCs w:val="18"/>
              </w:rPr>
              <w:t>259.050</w:t>
            </w:r>
          </w:p>
        </w:tc>
        <w:tc>
          <w:tcPr>
            <w:tcW w:w="1467" w:type="dxa"/>
            <w:tcBorders>
              <w:top w:val="nil"/>
              <w:left w:val="nil"/>
              <w:bottom w:val="single" w:sz="8" w:space="0" w:color="auto"/>
              <w:right w:val="single" w:sz="8" w:space="0" w:color="auto"/>
            </w:tcBorders>
            <w:shd w:val="clear" w:color="000000" w:fill="99CCFF"/>
            <w:noWrap/>
            <w:vAlign w:val="bottom"/>
            <w:hideMark/>
          </w:tcPr>
          <w:p w:rsidR="00A10867" w:rsidRPr="00A10867" w:rsidRDefault="00A10867" w:rsidP="00A10867">
            <w:pPr>
              <w:jc w:val="right"/>
              <w:rPr>
                <w:rFonts w:cs="Arial"/>
                <w:sz w:val="18"/>
                <w:szCs w:val="18"/>
              </w:rPr>
            </w:pPr>
            <w:r w:rsidRPr="00A10867">
              <w:rPr>
                <w:rFonts w:cs="Arial"/>
                <w:sz w:val="18"/>
                <w:szCs w:val="18"/>
              </w:rPr>
              <w:t>164.974</w:t>
            </w:r>
          </w:p>
        </w:tc>
        <w:tc>
          <w:tcPr>
            <w:tcW w:w="1467" w:type="dxa"/>
            <w:tcBorders>
              <w:top w:val="nil"/>
              <w:left w:val="nil"/>
              <w:bottom w:val="single" w:sz="8" w:space="0" w:color="auto"/>
              <w:right w:val="single" w:sz="8" w:space="0" w:color="auto"/>
            </w:tcBorders>
            <w:shd w:val="clear" w:color="000000" w:fill="99CCFF"/>
            <w:noWrap/>
            <w:vAlign w:val="bottom"/>
            <w:hideMark/>
          </w:tcPr>
          <w:p w:rsidR="00A10867" w:rsidRPr="00A10867" w:rsidRDefault="00A10867" w:rsidP="00A10867">
            <w:pPr>
              <w:jc w:val="right"/>
              <w:rPr>
                <w:rFonts w:cs="Arial"/>
                <w:sz w:val="18"/>
                <w:szCs w:val="18"/>
              </w:rPr>
            </w:pPr>
            <w:r w:rsidRPr="00A10867">
              <w:rPr>
                <w:rFonts w:cs="Arial"/>
                <w:sz w:val="18"/>
                <w:szCs w:val="18"/>
              </w:rPr>
              <w:t>252.050</w:t>
            </w:r>
          </w:p>
        </w:tc>
        <w:tc>
          <w:tcPr>
            <w:tcW w:w="1467" w:type="dxa"/>
            <w:tcBorders>
              <w:top w:val="nil"/>
              <w:left w:val="nil"/>
              <w:bottom w:val="single" w:sz="8" w:space="0" w:color="auto"/>
              <w:right w:val="single" w:sz="8" w:space="0" w:color="auto"/>
            </w:tcBorders>
            <w:shd w:val="clear" w:color="000000" w:fill="99CCFF"/>
            <w:noWrap/>
            <w:vAlign w:val="bottom"/>
            <w:hideMark/>
          </w:tcPr>
          <w:p w:rsidR="00A10867" w:rsidRPr="00A10867" w:rsidRDefault="00A10867" w:rsidP="00A10867">
            <w:pPr>
              <w:jc w:val="right"/>
              <w:rPr>
                <w:rFonts w:cs="Arial"/>
                <w:sz w:val="18"/>
                <w:szCs w:val="18"/>
              </w:rPr>
            </w:pPr>
            <w:r w:rsidRPr="00A10867">
              <w:rPr>
                <w:rFonts w:cs="Arial"/>
                <w:sz w:val="18"/>
                <w:szCs w:val="18"/>
              </w:rPr>
              <w:t>7.000</w:t>
            </w:r>
          </w:p>
        </w:tc>
      </w:tr>
    </w:tbl>
    <w:p w:rsidR="00A10867" w:rsidRDefault="00A10867" w:rsidP="00677834">
      <w:pPr>
        <w:rPr>
          <w:b/>
        </w:rPr>
      </w:pPr>
    </w:p>
    <w:p w:rsidR="006705B9" w:rsidRDefault="006705B9" w:rsidP="00677834"/>
    <w:p w:rsidR="00802308" w:rsidRDefault="00802308" w:rsidP="00802308">
      <w:r w:rsidRPr="00802308">
        <w:t xml:space="preserve">Samlet set </w:t>
      </w:r>
      <w:r w:rsidR="00A10867">
        <w:t>forventes det at</w:t>
      </w:r>
      <w:r w:rsidRPr="00802308">
        <w:t xml:space="preserve"> budgetrammen kan overholdes</w:t>
      </w:r>
      <w:r w:rsidR="00A10867">
        <w:t xml:space="preserve">, der kan dog blive brug for at overføre midler fra </w:t>
      </w:r>
      <w:r w:rsidR="008B3C5B">
        <w:t>f</w:t>
      </w:r>
      <w:r w:rsidR="00A10867">
        <w:t xml:space="preserve">orsørgelsesydelser til Arbejdsmarkedsudvalget som følge af </w:t>
      </w:r>
      <w:r w:rsidR="008B3C5B">
        <w:t>fleksjob-førtidspensions</w:t>
      </w:r>
      <w:r w:rsidR="00A10867">
        <w:t>reforme</w:t>
      </w:r>
      <w:r w:rsidR="008B3C5B">
        <w:t>n,</w:t>
      </w:r>
      <w:r w:rsidR="00A10867">
        <w:t xml:space="preserve"> der flytter udgifter fra førtidspension til ressourceforløb, ledighedsydelse og fleksjob.</w:t>
      </w:r>
      <w:r w:rsidR="008B3C5B">
        <w:t xml:space="preserve"> </w:t>
      </w:r>
    </w:p>
    <w:p w:rsidR="008B3C5B" w:rsidRPr="00802308" w:rsidRDefault="008B3C5B" w:rsidP="00802308"/>
    <w:p w:rsidR="00802308" w:rsidRPr="00802308" w:rsidRDefault="00802308" w:rsidP="00802308">
      <w:r w:rsidRPr="00802308">
        <w:t>Efter at have været igennem store omstillinger i 2011 og 2012 med tilpasning af tilbud og ydelser er der i 2013 fokus på konsolidering af centrene og dermed omkostningseffektivitet samt kvalitetsudvikling. Samtidig er der fortsat fokus på visitationen med rette match af borgerne ud fra mindsteindgrebsprincippet samt en bevægelse fra beskyttet beskæftigelse til støttet beskæftigelse.</w:t>
      </w:r>
    </w:p>
    <w:p w:rsidR="00BE3082" w:rsidRDefault="00BE3082" w:rsidP="00D37A73"/>
    <w:p w:rsidR="00BE3082" w:rsidRPr="00C12D89" w:rsidRDefault="00C12D89" w:rsidP="00D37A73">
      <w:pPr>
        <w:rPr>
          <w:b/>
        </w:rPr>
      </w:pPr>
      <w:r w:rsidRPr="00C12D89">
        <w:rPr>
          <w:b/>
        </w:rPr>
        <w:t>Handicap og psyk</w:t>
      </w:r>
      <w:r>
        <w:rPr>
          <w:b/>
        </w:rPr>
        <w:t>ia</w:t>
      </w:r>
      <w:r w:rsidRPr="00C12D89">
        <w:rPr>
          <w:b/>
        </w:rPr>
        <w:t>tri</w:t>
      </w:r>
    </w:p>
    <w:p w:rsidR="00805233" w:rsidRDefault="00805233" w:rsidP="00D37A73"/>
    <w:p w:rsidR="00805233" w:rsidRPr="00805233" w:rsidRDefault="00805233" w:rsidP="00D37A73">
      <w:pPr>
        <w:rPr>
          <w:i/>
        </w:rPr>
      </w:pPr>
      <w:r w:rsidRPr="00805233">
        <w:rPr>
          <w:i/>
        </w:rPr>
        <w:t>Hjemtagelser</w:t>
      </w:r>
    </w:p>
    <w:p w:rsidR="00805233" w:rsidRDefault="00805233" w:rsidP="00D37A73"/>
    <w:p w:rsidR="00C12D89" w:rsidRPr="00C12D89" w:rsidRDefault="00C12D89" w:rsidP="00D37A73">
      <w:r>
        <w:t>De store omlægninger på hele området kan gøre det svært at sammenligne priser over tid, medmindre man kigger på de konkrete borgere og den støtte de modtager</w:t>
      </w:r>
      <w:r w:rsidR="008B034D">
        <w:t>. M</w:t>
      </w:r>
      <w:r>
        <w:t>en i forhold til en af hjørnestene i masterplanen, det at finde et bedre match til de borgere der var placeret i tilbud udenfor kommunen</w:t>
      </w:r>
      <w:r w:rsidR="008B034D">
        <w:t>, ses effekten derimod ret tydeligt.</w:t>
      </w:r>
    </w:p>
    <w:p w:rsidR="00C12D89" w:rsidRDefault="00C12D89" w:rsidP="00D37A73"/>
    <w:tbl>
      <w:tblPr>
        <w:tblW w:w="7357" w:type="dxa"/>
        <w:tblInd w:w="60" w:type="dxa"/>
        <w:tblCellMar>
          <w:left w:w="70" w:type="dxa"/>
          <w:right w:w="70" w:type="dxa"/>
        </w:tblCellMar>
        <w:tblLook w:val="04A0"/>
      </w:tblPr>
      <w:tblGrid>
        <w:gridCol w:w="1952"/>
        <w:gridCol w:w="1905"/>
        <w:gridCol w:w="1905"/>
        <w:gridCol w:w="1595"/>
      </w:tblGrid>
      <w:tr w:rsidR="00C12D89" w:rsidRPr="00C12D89" w:rsidTr="00C12D89">
        <w:trPr>
          <w:trHeight w:val="264"/>
        </w:trPr>
        <w:tc>
          <w:tcPr>
            <w:tcW w:w="7356" w:type="dxa"/>
            <w:gridSpan w:val="4"/>
            <w:tcBorders>
              <w:top w:val="single" w:sz="8" w:space="0" w:color="auto"/>
              <w:left w:val="single" w:sz="8" w:space="0" w:color="auto"/>
              <w:bottom w:val="nil"/>
              <w:right w:val="single" w:sz="8" w:space="0" w:color="000000"/>
            </w:tcBorders>
            <w:shd w:val="clear" w:color="000000" w:fill="E46D0A"/>
            <w:noWrap/>
            <w:vAlign w:val="bottom"/>
            <w:hideMark/>
          </w:tcPr>
          <w:p w:rsidR="00C12D89" w:rsidRPr="00C12D89" w:rsidRDefault="00C12D89" w:rsidP="00C12D89">
            <w:pPr>
              <w:jc w:val="center"/>
              <w:rPr>
                <w:rFonts w:ascii="Calibri" w:hAnsi="Calibri"/>
                <w:b/>
                <w:bCs/>
                <w:color w:val="000000"/>
                <w:sz w:val="22"/>
                <w:szCs w:val="22"/>
              </w:rPr>
            </w:pPr>
            <w:r w:rsidRPr="00C12D89">
              <w:rPr>
                <w:rFonts w:ascii="Calibri" w:hAnsi="Calibri"/>
                <w:b/>
                <w:bCs/>
                <w:color w:val="000000"/>
                <w:sz w:val="22"/>
                <w:szCs w:val="22"/>
              </w:rPr>
              <w:t>Køb i andre kommuner</w:t>
            </w:r>
          </w:p>
        </w:tc>
      </w:tr>
      <w:tr w:rsidR="00C12D89" w:rsidRPr="00C12D89" w:rsidTr="00C12D89">
        <w:trPr>
          <w:trHeight w:val="264"/>
        </w:trPr>
        <w:tc>
          <w:tcPr>
            <w:tcW w:w="1952" w:type="dxa"/>
            <w:tcBorders>
              <w:top w:val="nil"/>
              <w:left w:val="single" w:sz="8" w:space="0" w:color="auto"/>
              <w:bottom w:val="nil"/>
              <w:right w:val="nil"/>
            </w:tcBorders>
            <w:shd w:val="clear" w:color="000000" w:fill="FAC090"/>
            <w:noWrap/>
            <w:vAlign w:val="bottom"/>
            <w:hideMark/>
          </w:tcPr>
          <w:p w:rsidR="00C12D89" w:rsidRPr="00C12D89" w:rsidRDefault="00C12D89" w:rsidP="00C12D89">
            <w:pPr>
              <w:rPr>
                <w:rFonts w:ascii="Calibri" w:hAnsi="Calibri"/>
                <w:b/>
                <w:bCs/>
                <w:color w:val="000000"/>
                <w:sz w:val="22"/>
                <w:szCs w:val="22"/>
              </w:rPr>
            </w:pPr>
            <w:r w:rsidRPr="00C12D89">
              <w:rPr>
                <w:rFonts w:ascii="Calibri" w:hAnsi="Calibri"/>
                <w:b/>
                <w:bCs/>
                <w:color w:val="000000"/>
                <w:sz w:val="22"/>
                <w:szCs w:val="22"/>
              </w:rPr>
              <w:t> </w:t>
            </w:r>
          </w:p>
        </w:tc>
        <w:tc>
          <w:tcPr>
            <w:tcW w:w="1905" w:type="dxa"/>
            <w:tcBorders>
              <w:top w:val="nil"/>
              <w:left w:val="nil"/>
              <w:bottom w:val="nil"/>
              <w:right w:val="nil"/>
            </w:tcBorders>
            <w:shd w:val="clear" w:color="000000" w:fill="FAC090"/>
            <w:noWrap/>
            <w:vAlign w:val="center"/>
            <w:hideMark/>
          </w:tcPr>
          <w:p w:rsidR="00C12D89" w:rsidRPr="00C12D89" w:rsidRDefault="00C12D89" w:rsidP="00C12D89">
            <w:pPr>
              <w:jc w:val="center"/>
              <w:rPr>
                <w:rFonts w:ascii="Calibri" w:hAnsi="Calibri"/>
                <w:b/>
                <w:bCs/>
                <w:color w:val="000000"/>
                <w:sz w:val="22"/>
                <w:szCs w:val="22"/>
              </w:rPr>
            </w:pPr>
            <w:r w:rsidRPr="00C12D89">
              <w:rPr>
                <w:rFonts w:ascii="Calibri" w:hAnsi="Calibri"/>
                <w:b/>
                <w:bCs/>
                <w:color w:val="000000"/>
                <w:sz w:val="22"/>
                <w:szCs w:val="22"/>
              </w:rPr>
              <w:t>2012</w:t>
            </w:r>
          </w:p>
        </w:tc>
        <w:tc>
          <w:tcPr>
            <w:tcW w:w="1905" w:type="dxa"/>
            <w:tcBorders>
              <w:top w:val="nil"/>
              <w:left w:val="nil"/>
              <w:bottom w:val="nil"/>
              <w:right w:val="nil"/>
            </w:tcBorders>
            <w:shd w:val="clear" w:color="000000" w:fill="FAC090"/>
            <w:noWrap/>
            <w:vAlign w:val="center"/>
            <w:hideMark/>
          </w:tcPr>
          <w:p w:rsidR="00C12D89" w:rsidRPr="00C12D89" w:rsidRDefault="00C12D89" w:rsidP="00C12D89">
            <w:pPr>
              <w:jc w:val="center"/>
              <w:rPr>
                <w:rFonts w:ascii="Calibri" w:hAnsi="Calibri"/>
                <w:b/>
                <w:bCs/>
                <w:color w:val="000000"/>
                <w:sz w:val="22"/>
                <w:szCs w:val="22"/>
              </w:rPr>
            </w:pPr>
            <w:r w:rsidRPr="00C12D89">
              <w:rPr>
                <w:rFonts w:ascii="Calibri" w:hAnsi="Calibri"/>
                <w:b/>
                <w:bCs/>
                <w:color w:val="000000"/>
                <w:sz w:val="22"/>
                <w:szCs w:val="22"/>
              </w:rPr>
              <w:t>2013</w:t>
            </w:r>
            <w:r>
              <w:rPr>
                <w:rFonts w:ascii="Calibri" w:hAnsi="Calibri"/>
                <w:b/>
                <w:bCs/>
                <w:color w:val="000000"/>
                <w:sz w:val="22"/>
                <w:szCs w:val="22"/>
              </w:rPr>
              <w:t xml:space="preserve"> (forventet)</w:t>
            </w:r>
          </w:p>
        </w:tc>
        <w:tc>
          <w:tcPr>
            <w:tcW w:w="1595" w:type="dxa"/>
            <w:tcBorders>
              <w:top w:val="nil"/>
              <w:left w:val="nil"/>
              <w:bottom w:val="nil"/>
              <w:right w:val="single" w:sz="8" w:space="0" w:color="auto"/>
            </w:tcBorders>
            <w:shd w:val="clear" w:color="000000" w:fill="FAC090"/>
            <w:noWrap/>
            <w:vAlign w:val="center"/>
            <w:hideMark/>
          </w:tcPr>
          <w:p w:rsidR="00C12D89" w:rsidRPr="00C12D89" w:rsidRDefault="00C12D89" w:rsidP="00C12D89">
            <w:pPr>
              <w:jc w:val="center"/>
              <w:rPr>
                <w:rFonts w:ascii="Calibri" w:hAnsi="Calibri"/>
                <w:b/>
                <w:bCs/>
                <w:color w:val="000000"/>
                <w:sz w:val="22"/>
                <w:szCs w:val="22"/>
              </w:rPr>
            </w:pPr>
            <w:r w:rsidRPr="00C12D89">
              <w:rPr>
                <w:rFonts w:ascii="Calibri" w:hAnsi="Calibri"/>
                <w:b/>
                <w:bCs/>
                <w:color w:val="000000"/>
                <w:sz w:val="22"/>
                <w:szCs w:val="22"/>
              </w:rPr>
              <w:t>Forskel</w:t>
            </w:r>
          </w:p>
        </w:tc>
      </w:tr>
      <w:tr w:rsidR="00C12D89" w:rsidRPr="00C12D89" w:rsidTr="00C12D89">
        <w:trPr>
          <w:trHeight w:val="264"/>
        </w:trPr>
        <w:tc>
          <w:tcPr>
            <w:tcW w:w="1952" w:type="dxa"/>
            <w:tcBorders>
              <w:top w:val="nil"/>
              <w:left w:val="single" w:sz="8" w:space="0" w:color="auto"/>
              <w:bottom w:val="nil"/>
              <w:right w:val="nil"/>
            </w:tcBorders>
            <w:shd w:val="clear" w:color="auto" w:fill="auto"/>
            <w:noWrap/>
            <w:vAlign w:val="bottom"/>
            <w:hideMark/>
          </w:tcPr>
          <w:p w:rsidR="00C12D89" w:rsidRPr="00C12D89" w:rsidRDefault="00C12D89" w:rsidP="00C12D89">
            <w:pPr>
              <w:rPr>
                <w:rFonts w:ascii="Calibri" w:hAnsi="Calibri"/>
                <w:color w:val="000000"/>
                <w:sz w:val="22"/>
                <w:szCs w:val="22"/>
              </w:rPr>
            </w:pPr>
            <w:r w:rsidRPr="00C12D89">
              <w:rPr>
                <w:rFonts w:ascii="Calibri" w:hAnsi="Calibri"/>
                <w:color w:val="000000"/>
                <w:sz w:val="22"/>
                <w:szCs w:val="22"/>
              </w:rPr>
              <w:t>Botilbud og § 85</w:t>
            </w:r>
          </w:p>
        </w:tc>
        <w:tc>
          <w:tcPr>
            <w:tcW w:w="1905" w:type="dxa"/>
            <w:tcBorders>
              <w:top w:val="nil"/>
              <w:left w:val="nil"/>
              <w:bottom w:val="nil"/>
              <w:right w:val="nil"/>
            </w:tcBorders>
            <w:shd w:val="clear" w:color="auto" w:fill="auto"/>
            <w:noWrap/>
            <w:vAlign w:val="center"/>
            <w:hideMark/>
          </w:tcPr>
          <w:p w:rsidR="00C12D89" w:rsidRPr="00C12D89" w:rsidRDefault="00805233" w:rsidP="00805233">
            <w:pPr>
              <w:jc w:val="center"/>
              <w:rPr>
                <w:rFonts w:ascii="Calibri" w:hAnsi="Calibri"/>
                <w:color w:val="000000"/>
                <w:sz w:val="22"/>
                <w:szCs w:val="22"/>
              </w:rPr>
            </w:pPr>
            <w:r>
              <w:rPr>
                <w:rFonts w:ascii="Calibri" w:hAnsi="Calibri"/>
                <w:color w:val="000000"/>
                <w:sz w:val="22"/>
                <w:szCs w:val="22"/>
              </w:rPr>
              <w:t>100</w:t>
            </w:r>
            <w:r w:rsidR="00C12D89" w:rsidRPr="00C12D89">
              <w:rPr>
                <w:rFonts w:ascii="Calibri" w:hAnsi="Calibri"/>
                <w:color w:val="000000"/>
                <w:sz w:val="22"/>
                <w:szCs w:val="22"/>
              </w:rPr>
              <w:t>,</w:t>
            </w:r>
            <w:r>
              <w:rPr>
                <w:rFonts w:ascii="Calibri" w:hAnsi="Calibri"/>
                <w:color w:val="000000"/>
                <w:sz w:val="22"/>
                <w:szCs w:val="22"/>
              </w:rPr>
              <w:t>4</w:t>
            </w:r>
          </w:p>
        </w:tc>
        <w:tc>
          <w:tcPr>
            <w:tcW w:w="1905" w:type="dxa"/>
            <w:tcBorders>
              <w:top w:val="nil"/>
              <w:left w:val="nil"/>
              <w:bottom w:val="nil"/>
              <w:right w:val="nil"/>
            </w:tcBorders>
            <w:shd w:val="clear" w:color="auto" w:fill="auto"/>
            <w:noWrap/>
            <w:vAlign w:val="center"/>
            <w:hideMark/>
          </w:tcPr>
          <w:p w:rsidR="00C12D89" w:rsidRPr="00C12D89" w:rsidRDefault="00C12D89" w:rsidP="00CB48F6">
            <w:pPr>
              <w:jc w:val="center"/>
              <w:rPr>
                <w:rFonts w:ascii="Calibri" w:hAnsi="Calibri"/>
                <w:color w:val="000000"/>
                <w:sz w:val="22"/>
                <w:szCs w:val="22"/>
              </w:rPr>
            </w:pPr>
            <w:r w:rsidRPr="00C12D89">
              <w:rPr>
                <w:rFonts w:ascii="Calibri" w:hAnsi="Calibri"/>
                <w:color w:val="000000"/>
                <w:sz w:val="22"/>
                <w:szCs w:val="22"/>
              </w:rPr>
              <w:t>8</w:t>
            </w:r>
            <w:r w:rsidR="00CB48F6">
              <w:rPr>
                <w:rFonts w:ascii="Calibri" w:hAnsi="Calibri"/>
                <w:color w:val="000000"/>
                <w:sz w:val="22"/>
                <w:szCs w:val="22"/>
              </w:rPr>
              <w:t>7</w:t>
            </w:r>
            <w:r w:rsidRPr="00C12D89">
              <w:rPr>
                <w:rFonts w:ascii="Calibri" w:hAnsi="Calibri"/>
                <w:color w:val="000000"/>
                <w:sz w:val="22"/>
                <w:szCs w:val="22"/>
              </w:rPr>
              <w:t>,</w:t>
            </w:r>
            <w:r w:rsidR="00CB48F6">
              <w:rPr>
                <w:rFonts w:ascii="Calibri" w:hAnsi="Calibri"/>
                <w:color w:val="000000"/>
                <w:sz w:val="22"/>
                <w:szCs w:val="22"/>
              </w:rPr>
              <w:t>7</w:t>
            </w:r>
          </w:p>
        </w:tc>
        <w:tc>
          <w:tcPr>
            <w:tcW w:w="1595" w:type="dxa"/>
            <w:tcBorders>
              <w:top w:val="nil"/>
              <w:left w:val="nil"/>
              <w:bottom w:val="nil"/>
              <w:right w:val="single" w:sz="8" w:space="0" w:color="auto"/>
            </w:tcBorders>
            <w:shd w:val="clear" w:color="auto" w:fill="auto"/>
            <w:noWrap/>
            <w:vAlign w:val="center"/>
            <w:hideMark/>
          </w:tcPr>
          <w:p w:rsidR="00C12D89" w:rsidRPr="00C12D89" w:rsidRDefault="00C12D89" w:rsidP="00CB48F6">
            <w:pPr>
              <w:jc w:val="center"/>
              <w:rPr>
                <w:rFonts w:ascii="Calibri" w:hAnsi="Calibri"/>
                <w:color w:val="000000"/>
                <w:sz w:val="22"/>
                <w:szCs w:val="22"/>
              </w:rPr>
            </w:pPr>
            <w:r w:rsidRPr="00C12D89">
              <w:rPr>
                <w:rFonts w:ascii="Calibri" w:hAnsi="Calibri"/>
                <w:color w:val="000000"/>
                <w:sz w:val="22"/>
                <w:szCs w:val="22"/>
              </w:rPr>
              <w:t>-1</w:t>
            </w:r>
            <w:r w:rsidR="00805233">
              <w:rPr>
                <w:rFonts w:ascii="Calibri" w:hAnsi="Calibri"/>
                <w:color w:val="000000"/>
                <w:sz w:val="22"/>
                <w:szCs w:val="22"/>
              </w:rPr>
              <w:t>2</w:t>
            </w:r>
            <w:r w:rsidRPr="00C12D89">
              <w:rPr>
                <w:rFonts w:ascii="Calibri" w:hAnsi="Calibri"/>
                <w:color w:val="000000"/>
                <w:sz w:val="22"/>
                <w:szCs w:val="22"/>
              </w:rPr>
              <w:t>,</w:t>
            </w:r>
            <w:r w:rsidR="00CB48F6">
              <w:rPr>
                <w:rFonts w:ascii="Calibri" w:hAnsi="Calibri"/>
                <w:color w:val="000000"/>
                <w:sz w:val="22"/>
                <w:szCs w:val="22"/>
              </w:rPr>
              <w:t>7</w:t>
            </w:r>
          </w:p>
        </w:tc>
      </w:tr>
      <w:tr w:rsidR="00C12D89" w:rsidRPr="00C12D89" w:rsidTr="00C12D89">
        <w:trPr>
          <w:trHeight w:val="277"/>
        </w:trPr>
        <w:tc>
          <w:tcPr>
            <w:tcW w:w="1952" w:type="dxa"/>
            <w:tcBorders>
              <w:top w:val="nil"/>
              <w:left w:val="single" w:sz="8" w:space="0" w:color="auto"/>
              <w:bottom w:val="single" w:sz="8" w:space="0" w:color="auto"/>
              <w:right w:val="nil"/>
            </w:tcBorders>
            <w:shd w:val="clear" w:color="auto" w:fill="auto"/>
            <w:noWrap/>
            <w:vAlign w:val="bottom"/>
            <w:hideMark/>
          </w:tcPr>
          <w:p w:rsidR="00C12D89" w:rsidRPr="00C12D89" w:rsidRDefault="00C12D89" w:rsidP="00C12D89">
            <w:pPr>
              <w:rPr>
                <w:rFonts w:ascii="Calibri" w:hAnsi="Calibri"/>
                <w:color w:val="000000"/>
                <w:sz w:val="22"/>
                <w:szCs w:val="22"/>
              </w:rPr>
            </w:pPr>
            <w:r w:rsidRPr="00C12D89">
              <w:rPr>
                <w:rFonts w:ascii="Calibri" w:hAnsi="Calibri"/>
                <w:color w:val="000000"/>
                <w:sz w:val="22"/>
                <w:szCs w:val="22"/>
              </w:rPr>
              <w:t>Dagtilbud</w:t>
            </w:r>
          </w:p>
        </w:tc>
        <w:tc>
          <w:tcPr>
            <w:tcW w:w="1905" w:type="dxa"/>
            <w:tcBorders>
              <w:top w:val="nil"/>
              <w:left w:val="nil"/>
              <w:bottom w:val="single" w:sz="8" w:space="0" w:color="auto"/>
              <w:right w:val="nil"/>
            </w:tcBorders>
            <w:shd w:val="clear" w:color="auto" w:fill="auto"/>
            <w:noWrap/>
            <w:vAlign w:val="center"/>
            <w:hideMark/>
          </w:tcPr>
          <w:p w:rsidR="00C12D89" w:rsidRPr="00C12D89" w:rsidRDefault="00C12D89" w:rsidP="00C12D89">
            <w:pPr>
              <w:jc w:val="center"/>
              <w:rPr>
                <w:rFonts w:ascii="Calibri" w:hAnsi="Calibri"/>
                <w:color w:val="000000"/>
                <w:sz w:val="22"/>
                <w:szCs w:val="22"/>
              </w:rPr>
            </w:pPr>
            <w:r w:rsidRPr="00C12D89">
              <w:rPr>
                <w:rFonts w:ascii="Calibri" w:hAnsi="Calibri"/>
                <w:color w:val="000000"/>
                <w:sz w:val="22"/>
                <w:szCs w:val="22"/>
              </w:rPr>
              <w:t>13,3</w:t>
            </w:r>
          </w:p>
        </w:tc>
        <w:tc>
          <w:tcPr>
            <w:tcW w:w="1905" w:type="dxa"/>
            <w:tcBorders>
              <w:top w:val="nil"/>
              <w:left w:val="nil"/>
              <w:bottom w:val="single" w:sz="8" w:space="0" w:color="auto"/>
              <w:right w:val="nil"/>
            </w:tcBorders>
            <w:shd w:val="clear" w:color="auto" w:fill="auto"/>
            <w:noWrap/>
            <w:vAlign w:val="center"/>
            <w:hideMark/>
          </w:tcPr>
          <w:p w:rsidR="00C12D89" w:rsidRPr="00C12D89" w:rsidRDefault="00C12D89" w:rsidP="00805233">
            <w:pPr>
              <w:jc w:val="center"/>
              <w:rPr>
                <w:rFonts w:ascii="Calibri" w:hAnsi="Calibri"/>
                <w:color w:val="000000"/>
                <w:sz w:val="22"/>
                <w:szCs w:val="22"/>
              </w:rPr>
            </w:pPr>
            <w:r w:rsidRPr="00C12D89">
              <w:rPr>
                <w:rFonts w:ascii="Calibri" w:hAnsi="Calibri"/>
                <w:color w:val="000000"/>
                <w:sz w:val="22"/>
                <w:szCs w:val="22"/>
              </w:rPr>
              <w:t>11,</w:t>
            </w:r>
            <w:r w:rsidR="00805233">
              <w:rPr>
                <w:rFonts w:ascii="Calibri" w:hAnsi="Calibri"/>
                <w:color w:val="000000"/>
                <w:sz w:val="22"/>
                <w:szCs w:val="22"/>
              </w:rPr>
              <w:t>2</w:t>
            </w:r>
          </w:p>
        </w:tc>
        <w:tc>
          <w:tcPr>
            <w:tcW w:w="1595" w:type="dxa"/>
            <w:tcBorders>
              <w:top w:val="nil"/>
              <w:left w:val="nil"/>
              <w:bottom w:val="single" w:sz="8" w:space="0" w:color="auto"/>
              <w:right w:val="single" w:sz="8" w:space="0" w:color="auto"/>
            </w:tcBorders>
            <w:shd w:val="clear" w:color="auto" w:fill="auto"/>
            <w:noWrap/>
            <w:vAlign w:val="center"/>
            <w:hideMark/>
          </w:tcPr>
          <w:p w:rsidR="00C12D89" w:rsidRPr="00C12D89" w:rsidRDefault="00C12D89" w:rsidP="00805233">
            <w:pPr>
              <w:jc w:val="center"/>
              <w:rPr>
                <w:rFonts w:ascii="Calibri" w:hAnsi="Calibri"/>
                <w:color w:val="000000"/>
                <w:sz w:val="22"/>
                <w:szCs w:val="22"/>
              </w:rPr>
            </w:pPr>
            <w:r w:rsidRPr="00C12D89">
              <w:rPr>
                <w:rFonts w:ascii="Calibri" w:hAnsi="Calibri"/>
                <w:color w:val="000000"/>
                <w:sz w:val="22"/>
                <w:szCs w:val="22"/>
              </w:rPr>
              <w:t>-</w:t>
            </w:r>
            <w:r w:rsidR="00805233">
              <w:rPr>
                <w:rFonts w:ascii="Calibri" w:hAnsi="Calibri"/>
                <w:color w:val="000000"/>
                <w:sz w:val="22"/>
                <w:szCs w:val="22"/>
              </w:rPr>
              <w:t>2</w:t>
            </w:r>
            <w:r w:rsidRPr="00C12D89">
              <w:rPr>
                <w:rFonts w:ascii="Calibri" w:hAnsi="Calibri"/>
                <w:color w:val="000000"/>
                <w:sz w:val="22"/>
                <w:szCs w:val="22"/>
              </w:rPr>
              <w:t>,</w:t>
            </w:r>
            <w:r w:rsidR="00805233">
              <w:rPr>
                <w:rFonts w:ascii="Calibri" w:hAnsi="Calibri"/>
                <w:color w:val="000000"/>
                <w:sz w:val="22"/>
                <w:szCs w:val="22"/>
              </w:rPr>
              <w:t>1</w:t>
            </w:r>
          </w:p>
        </w:tc>
      </w:tr>
      <w:tr w:rsidR="00C12D89" w:rsidRPr="00C12D89" w:rsidTr="00C12D89">
        <w:trPr>
          <w:trHeight w:val="264"/>
        </w:trPr>
        <w:tc>
          <w:tcPr>
            <w:tcW w:w="1952" w:type="dxa"/>
            <w:tcBorders>
              <w:top w:val="nil"/>
              <w:left w:val="nil"/>
              <w:bottom w:val="nil"/>
              <w:right w:val="nil"/>
            </w:tcBorders>
            <w:shd w:val="clear" w:color="auto" w:fill="auto"/>
            <w:noWrap/>
            <w:hideMark/>
          </w:tcPr>
          <w:p w:rsidR="00C12D89" w:rsidRPr="00C12D89" w:rsidRDefault="00C12D89" w:rsidP="00C12D89">
            <w:pPr>
              <w:rPr>
                <w:rFonts w:ascii="Calibri" w:hAnsi="Calibri"/>
                <w:color w:val="000000"/>
                <w:sz w:val="12"/>
                <w:szCs w:val="12"/>
              </w:rPr>
            </w:pPr>
            <w:r w:rsidRPr="00C12D89">
              <w:rPr>
                <w:rFonts w:ascii="Calibri" w:hAnsi="Calibri"/>
                <w:color w:val="000000"/>
                <w:sz w:val="12"/>
                <w:szCs w:val="12"/>
              </w:rPr>
              <w:t>(mio. kr. årets priser)</w:t>
            </w:r>
          </w:p>
        </w:tc>
        <w:tc>
          <w:tcPr>
            <w:tcW w:w="1905" w:type="dxa"/>
            <w:tcBorders>
              <w:top w:val="nil"/>
              <w:left w:val="nil"/>
              <w:bottom w:val="nil"/>
              <w:right w:val="nil"/>
            </w:tcBorders>
            <w:shd w:val="clear" w:color="auto" w:fill="auto"/>
            <w:noWrap/>
            <w:vAlign w:val="bottom"/>
            <w:hideMark/>
          </w:tcPr>
          <w:p w:rsidR="00C12D89" w:rsidRPr="00C12D89" w:rsidRDefault="00C12D89" w:rsidP="00C12D89">
            <w:pPr>
              <w:rPr>
                <w:rFonts w:ascii="Calibri" w:hAnsi="Calibri"/>
                <w:color w:val="000000"/>
                <w:sz w:val="22"/>
                <w:szCs w:val="22"/>
              </w:rPr>
            </w:pPr>
          </w:p>
        </w:tc>
        <w:tc>
          <w:tcPr>
            <w:tcW w:w="1905" w:type="dxa"/>
            <w:tcBorders>
              <w:top w:val="nil"/>
              <w:left w:val="nil"/>
              <w:bottom w:val="nil"/>
              <w:right w:val="nil"/>
            </w:tcBorders>
            <w:shd w:val="clear" w:color="auto" w:fill="auto"/>
            <w:noWrap/>
            <w:vAlign w:val="bottom"/>
            <w:hideMark/>
          </w:tcPr>
          <w:p w:rsidR="00C12D89" w:rsidRPr="00C12D89" w:rsidRDefault="00C12D89" w:rsidP="00C12D89">
            <w:pPr>
              <w:rPr>
                <w:rFonts w:ascii="Calibri" w:hAnsi="Calibri"/>
                <w:color w:val="000000"/>
                <w:sz w:val="22"/>
                <w:szCs w:val="22"/>
              </w:rPr>
            </w:pPr>
          </w:p>
        </w:tc>
        <w:tc>
          <w:tcPr>
            <w:tcW w:w="1595" w:type="dxa"/>
            <w:tcBorders>
              <w:top w:val="nil"/>
              <w:left w:val="nil"/>
              <w:bottom w:val="nil"/>
              <w:right w:val="nil"/>
            </w:tcBorders>
            <w:shd w:val="clear" w:color="auto" w:fill="auto"/>
            <w:noWrap/>
            <w:vAlign w:val="bottom"/>
            <w:hideMark/>
          </w:tcPr>
          <w:p w:rsidR="00C12D89" w:rsidRPr="00C12D89" w:rsidRDefault="00C12D89" w:rsidP="00C12D89">
            <w:pPr>
              <w:rPr>
                <w:rFonts w:ascii="Calibri" w:hAnsi="Calibri"/>
                <w:color w:val="000000"/>
                <w:sz w:val="22"/>
                <w:szCs w:val="22"/>
              </w:rPr>
            </w:pPr>
          </w:p>
        </w:tc>
      </w:tr>
    </w:tbl>
    <w:p w:rsidR="00C12D89" w:rsidRDefault="008B034D" w:rsidP="00D37A73">
      <w:r>
        <w:t>Bare i forhold til 2012, hvor en del af gennemslaget allerede havde fundet sted, forventes køb af botilbud og § 85 reduceret med 1</w:t>
      </w:r>
      <w:r w:rsidR="00805233">
        <w:t>2</w:t>
      </w:r>
      <w:r>
        <w:t>,</w:t>
      </w:r>
      <w:r w:rsidR="00CB48F6">
        <w:t>7</w:t>
      </w:r>
      <w:r>
        <w:t xml:space="preserve"> mio. kr. og dagtilbud med </w:t>
      </w:r>
      <w:r w:rsidR="00805233">
        <w:t>2</w:t>
      </w:r>
      <w:r>
        <w:t>,</w:t>
      </w:r>
      <w:r w:rsidR="00805233">
        <w:t>1</w:t>
      </w:r>
      <w:r>
        <w:t xml:space="preserve"> mio. kr.</w:t>
      </w:r>
    </w:p>
    <w:p w:rsidR="008B034D" w:rsidRDefault="008B034D" w:rsidP="00D37A73"/>
    <w:p w:rsidR="008B034D" w:rsidRDefault="008B034D" w:rsidP="00D37A73">
      <w:r>
        <w:t>Strategien vil også blive forfulgt i 2013</w:t>
      </w:r>
      <w:r w:rsidR="0052680C">
        <w:t xml:space="preserve"> med hjemtagelser i det omfang det er hensigtsmæssigt</w:t>
      </w:r>
      <w:r>
        <w:t>, men de største gevinster er høstet i løbet af 2011 og 2012</w:t>
      </w:r>
      <w:r w:rsidR="0052680C">
        <w:t xml:space="preserve">, hvilket betyder at udgifterne til de eksterne tilbud ikke kan reduceres væsentligt på kort sigt. </w:t>
      </w:r>
    </w:p>
    <w:p w:rsidR="00926FA1" w:rsidRDefault="00926FA1" w:rsidP="00D37A73"/>
    <w:p w:rsidR="00926FA1" w:rsidRDefault="00926FA1" w:rsidP="00D37A73">
      <w:r>
        <w:t>Det betyder at det fremadrettede fokus i højere grad vil være på udviklingen og flowet i egne tilbud</w:t>
      </w:r>
    </w:p>
    <w:p w:rsidR="00616EC8" w:rsidRDefault="00616EC8" w:rsidP="00D37A73"/>
    <w:p w:rsidR="00616EC8" w:rsidRPr="00616EC8" w:rsidRDefault="00616EC8" w:rsidP="00D37A73">
      <w:pPr>
        <w:rPr>
          <w:i/>
        </w:rPr>
      </w:pPr>
      <w:r w:rsidRPr="00616EC8">
        <w:rPr>
          <w:i/>
        </w:rPr>
        <w:t>Tilgangen</w:t>
      </w:r>
    </w:p>
    <w:p w:rsidR="00616EC8" w:rsidRDefault="00616EC8" w:rsidP="00D37A73"/>
    <w:p w:rsidR="00616EC8" w:rsidRDefault="00616EC8" w:rsidP="00D37A73">
      <w:r>
        <w:t xml:space="preserve">Den helt store udfordring er at håndtere tilgangen af unge til området. I budgetforudsætningerne for 2013 </w:t>
      </w:r>
      <w:r w:rsidR="00802308">
        <w:t>er</w:t>
      </w:r>
      <w:r>
        <w:t xml:space="preserve"> der indarbejdet nogle kraftige reduktioner</w:t>
      </w:r>
      <w:r w:rsidR="00626BCC">
        <w:t xml:space="preserve"> i udgifterne</w:t>
      </w:r>
      <w:r>
        <w:t xml:space="preserve"> for årgang 1990-1994</w:t>
      </w:r>
      <w:r w:rsidR="001E6E8F">
        <w:t xml:space="preserve">, som det </w:t>
      </w:r>
      <w:r w:rsidR="00802308">
        <w:t>er</w:t>
      </w:r>
      <w:r w:rsidR="001E6E8F">
        <w:t xml:space="preserve"> svært helt at indfri </w:t>
      </w:r>
      <w:r w:rsidR="001E6E8F">
        <w:lastRenderedPageBreak/>
        <w:t>allerede i 2013, samtidig med at de</w:t>
      </w:r>
      <w:r w:rsidR="00626BCC">
        <w:t>t</w:t>
      </w:r>
      <w:r w:rsidR="001E6E8F">
        <w:t xml:space="preserve"> </w:t>
      </w:r>
      <w:r w:rsidR="00626BCC">
        <w:t>nuværende tidspunkt også fortsat kan komme tilgang</w:t>
      </w:r>
      <w:r w:rsidR="001E6E8F">
        <w:t xml:space="preserve"> fra årgang 1995.</w:t>
      </w:r>
    </w:p>
    <w:p w:rsidR="00616EC8" w:rsidRDefault="00616EC8" w:rsidP="00D37A73"/>
    <w:p w:rsidR="001E6E8F" w:rsidRDefault="001E6E8F" w:rsidP="00D37A73">
      <w:r>
        <w:t>Hvis det er muligt at hjemtage nogle flere unge tidligere kan der dog skabes basis for at opnå samdriftsfordele tidligere og målrette indsatsen for disse unge.</w:t>
      </w:r>
    </w:p>
    <w:p w:rsidR="00846F76" w:rsidRDefault="00846F76" w:rsidP="00D37A73"/>
    <w:p w:rsidR="00846F76" w:rsidRDefault="00846F76" w:rsidP="00D37A73">
      <w:r>
        <w:t xml:space="preserve">I de øvrige sager har det gennem </w:t>
      </w:r>
      <w:r w:rsidR="007B4766">
        <w:t>flow</w:t>
      </w:r>
      <w:r>
        <w:t xml:space="preserve"> og hjemtagelser heldigvis været muligt at reducere udgifterne, så der stort set ikke har været en nettotilgang bland de øvrige årgange.</w:t>
      </w:r>
    </w:p>
    <w:p w:rsidR="001E6E8F" w:rsidRDefault="001E6E8F" w:rsidP="00D37A73"/>
    <w:p w:rsidR="00926FA1" w:rsidRDefault="00926FA1" w:rsidP="00D37A73">
      <w:pPr>
        <w:rPr>
          <w:i/>
        </w:rPr>
      </w:pPr>
      <w:r w:rsidRPr="00926FA1">
        <w:rPr>
          <w:i/>
        </w:rPr>
        <w:t>Centrene</w:t>
      </w:r>
    </w:p>
    <w:p w:rsidR="00926FA1" w:rsidRDefault="00926FA1" w:rsidP="00D37A73">
      <w:pPr>
        <w:rPr>
          <w:i/>
        </w:rPr>
      </w:pPr>
    </w:p>
    <w:p w:rsidR="00926FA1" w:rsidRDefault="00926FA1" w:rsidP="00D37A73">
      <w:r>
        <w:t xml:space="preserve">Omstillingen i centrene er først ved at være endeligt på plads her i begyndelsen af 2013 </w:t>
      </w:r>
      <w:r w:rsidR="0052680C">
        <w:t>og</w:t>
      </w:r>
      <w:r>
        <w:t xml:space="preserve"> fokus vil ændre sig fra at opbygge kapacitet til at </w:t>
      </w:r>
      <w:r w:rsidR="007B4766">
        <w:t xml:space="preserve">udvikle tilbuddene, så </w:t>
      </w:r>
      <w:r>
        <w:t>de mange nye opgaver</w:t>
      </w:r>
      <w:r w:rsidR="007B4766">
        <w:t xml:space="preserve"> løses med højest mulig kvalitet </w:t>
      </w:r>
      <w:r>
        <w:t>og skabe et større flow for borgerne hen imod det bedst matchende tilbud.</w:t>
      </w:r>
    </w:p>
    <w:p w:rsidR="00926FA1" w:rsidRDefault="00926FA1" w:rsidP="00D37A73"/>
    <w:p w:rsidR="00926FA1" w:rsidRDefault="00802308" w:rsidP="00D37A73">
      <w:r>
        <w:t>Udover metodeudvikling</w:t>
      </w:r>
      <w:r w:rsidR="00D74ED5">
        <w:t xml:space="preserve"> og kompetenceudvikling</w:t>
      </w:r>
      <w:r>
        <w:t xml:space="preserve"> vil det</w:t>
      </w:r>
      <w:r w:rsidR="00926FA1">
        <w:t xml:space="preserve"> kræve udvikling af bedre værktøjer til at måle effekten og i det hele tage</w:t>
      </w:r>
      <w:r w:rsidR="00D74ED5">
        <w:t>t</w:t>
      </w:r>
      <w:r w:rsidR="00926FA1">
        <w:t xml:space="preserve"> være en proces med kontinuerlig optimering af indsatsen.</w:t>
      </w:r>
    </w:p>
    <w:p w:rsidR="00926FA1" w:rsidRDefault="00926FA1" w:rsidP="00D37A73"/>
    <w:p w:rsidR="00926FA1" w:rsidRDefault="007078E7" w:rsidP="00D37A73">
      <w:r>
        <w:t>C</w:t>
      </w:r>
      <w:r w:rsidR="00926FA1">
        <w:t xml:space="preserve">entrene </w:t>
      </w:r>
      <w:r>
        <w:t xml:space="preserve">forventes </w:t>
      </w:r>
      <w:r w:rsidR="00926FA1">
        <w:t>at kunne overholde deres samlede budgetter</w:t>
      </w:r>
      <w:r>
        <w:t>, men er pressede i forhold til allerede at skulle begynde at forberede sig på omstillingerne til 2014</w:t>
      </w:r>
      <w:r w:rsidR="00CB48F6">
        <w:t>, herunder flere gruppevejledningstilbud.</w:t>
      </w:r>
    </w:p>
    <w:p w:rsidR="00DA701A" w:rsidRDefault="00DA701A" w:rsidP="00D37A73"/>
    <w:p w:rsidR="00926FA1" w:rsidRDefault="00926FA1" w:rsidP="00D37A73">
      <w:pPr>
        <w:rPr>
          <w:b/>
        </w:rPr>
      </w:pPr>
      <w:r w:rsidRPr="00926FA1">
        <w:rPr>
          <w:b/>
        </w:rPr>
        <w:t>Sociale Tilbud</w:t>
      </w:r>
    </w:p>
    <w:p w:rsidR="00857BDA" w:rsidRDefault="00857BDA" w:rsidP="00D37A73">
      <w:pPr>
        <w:rPr>
          <w:b/>
        </w:rPr>
      </w:pPr>
    </w:p>
    <w:p w:rsidR="00857BDA" w:rsidRPr="00B61A14" w:rsidRDefault="00857BDA" w:rsidP="00857BDA">
      <w:r w:rsidRPr="00B61A14">
        <w:t xml:space="preserve">Budgettet for Sociale Tilbud forventes samlet set </w:t>
      </w:r>
      <w:r>
        <w:t xml:space="preserve">at udvise et mindreforbrug på </w:t>
      </w:r>
      <w:r w:rsidR="00CB48F6">
        <w:t>ca. 2</w:t>
      </w:r>
      <w:r w:rsidR="00213AF3">
        <w:t xml:space="preserve"> mio. kr</w:t>
      </w:r>
      <w:r w:rsidR="008B3C5B">
        <w:t>.</w:t>
      </w:r>
      <w:r w:rsidR="00213AF3">
        <w:t xml:space="preserve">, men </w:t>
      </w:r>
      <w:proofErr w:type="spellStart"/>
      <w:r w:rsidR="00213AF3">
        <w:t>mindreforbruget</w:t>
      </w:r>
      <w:proofErr w:type="spellEnd"/>
      <w:r w:rsidR="00213AF3">
        <w:t xml:space="preserve"> er dog i høj grad knyttet til institutionen Skovvang</w:t>
      </w:r>
    </w:p>
    <w:p w:rsidR="00857BDA" w:rsidRPr="00B61A14" w:rsidRDefault="00857BDA" w:rsidP="00857BDA"/>
    <w:p w:rsidR="007078E7" w:rsidRDefault="00857BDA" w:rsidP="00857BDA">
      <w:r>
        <w:t>Holstebro Kommune samlede udgifter til køb af misbrugsbehandling, botilbud og ophold på forsorgshjem forventes at kunne holde sig indenfor budgettets forventninger</w:t>
      </w:r>
      <w:r w:rsidR="007078E7">
        <w:t xml:space="preserve">, men </w:t>
      </w:r>
      <w:r w:rsidR="00DD5224">
        <w:t xml:space="preserve">der er pres på </w:t>
      </w:r>
      <w:r w:rsidR="00802308">
        <w:t xml:space="preserve">udgifterne til køb af </w:t>
      </w:r>
      <w:r w:rsidR="00DD5224">
        <w:t>§ 110 ydelserne båd</w:t>
      </w:r>
      <w:r w:rsidR="00802308">
        <w:t>e</w:t>
      </w:r>
      <w:r w:rsidR="00DD5224">
        <w:t xml:space="preserve"> </w:t>
      </w:r>
      <w:r w:rsidR="00802308">
        <w:t>på</w:t>
      </w:r>
      <w:r w:rsidR="00DD5224">
        <w:t xml:space="preserve"> Skovvang og i andre kommuner.</w:t>
      </w:r>
    </w:p>
    <w:p w:rsidR="007078E7" w:rsidRDefault="007078E7" w:rsidP="00857BDA"/>
    <w:p w:rsidR="00857BDA" w:rsidRDefault="00857BDA" w:rsidP="00857BDA">
      <w:r>
        <w:t xml:space="preserve">Indenfor misbrugsbehandlingsområdet har der generelt været fokus på at styrke den ambulante indsats, så udgifterne til den forholdsvist dyre døgnbehandling begrænses. I 2011 </w:t>
      </w:r>
      <w:r w:rsidR="004C466C">
        <w:t xml:space="preserve">og 2012 har det været muligt at </w:t>
      </w:r>
      <w:r>
        <w:t>nedbringe udgifterne til døgnanbringelser og også i 201</w:t>
      </w:r>
      <w:r w:rsidR="004C466C">
        <w:t>3</w:t>
      </w:r>
      <w:r>
        <w:t xml:space="preserve"> forventes et </w:t>
      </w:r>
      <w:r w:rsidR="004C466C">
        <w:t>niveau lavere end budgetteret om end det kan være svært fortsat at holde på så lavt niveau som i de to seneste år.</w:t>
      </w:r>
    </w:p>
    <w:p w:rsidR="00857BDA" w:rsidRDefault="00857BDA" w:rsidP="00857BDA"/>
    <w:p w:rsidR="00174E84" w:rsidRDefault="00174E84" w:rsidP="00857BDA">
      <w:r>
        <w:t xml:space="preserve">I forhold til målgruppen, socialt udsatte, er der i dag ikke helt rene linjer konteringsmæssigt. Nogle af udgifterne vedrørende længerevarende botilbud </w:t>
      </w:r>
      <w:r w:rsidR="00D74ED5">
        <w:t xml:space="preserve">til socialt udsatte </w:t>
      </w:r>
      <w:r>
        <w:t>konteres under Handicap og Psykiatri, hvilket giver et skævt billede af udgifterne til socialt udsatte. For at have en mere retvisende kontering foreslås det derfor at flytte udgifterne og budgettet hertil over i Sociale Tilbud.</w:t>
      </w:r>
    </w:p>
    <w:p w:rsidR="00174E84" w:rsidRPr="00B61A14" w:rsidRDefault="00174E84" w:rsidP="00857BDA"/>
    <w:p w:rsidR="00341BB4" w:rsidRDefault="00341BB4" w:rsidP="00341BB4">
      <w:pPr>
        <w:rPr>
          <w:i/>
        </w:rPr>
      </w:pPr>
      <w:r w:rsidRPr="00926FA1">
        <w:rPr>
          <w:i/>
        </w:rPr>
        <w:t>Centrene</w:t>
      </w:r>
    </w:p>
    <w:p w:rsidR="00341BB4" w:rsidRDefault="00341BB4" w:rsidP="00BA4433"/>
    <w:p w:rsidR="00BA4433" w:rsidRDefault="00BA4433" w:rsidP="00BA4433">
      <w:r>
        <w:t>Driftsbudgette</w:t>
      </w:r>
      <w:r w:rsidR="00CB48F6">
        <w:t>t</w:t>
      </w:r>
      <w:r>
        <w:t xml:space="preserve"> for Skovvang </w:t>
      </w:r>
      <w:r w:rsidR="00CB48F6">
        <w:t>forventes at udvise et stort mindreforbrug, mens de andre dele af Center for Socialt udsatte er i balance.</w:t>
      </w:r>
    </w:p>
    <w:p w:rsidR="00BA4433" w:rsidRDefault="00BA4433" w:rsidP="00BA4433">
      <w:pPr>
        <w:ind w:left="1304"/>
      </w:pPr>
    </w:p>
    <w:p w:rsidR="007B0E30" w:rsidRDefault="00BA4433" w:rsidP="007B0E30">
      <w:r>
        <w:lastRenderedPageBreak/>
        <w:t>I misbrugsbehandlingen har indtægterne været vigende og der opnås i år kun budgetoverholdelse ved at reducere i udgifterne til kurser og uddannelse og undlade at genbesætte en vakant stilling</w:t>
      </w:r>
      <w:r w:rsidR="007B0E30">
        <w:t xml:space="preserve"> samt gennem genbevillinger fra sidste år</w:t>
      </w:r>
      <w:r>
        <w:t>. Udfordringen er a</w:t>
      </w:r>
      <w:r w:rsidR="00802308">
        <w:t xml:space="preserve">t der er færre borgere fra kommuner udenfor </w:t>
      </w:r>
      <w:r w:rsidR="007B0E30">
        <w:t>abonnement</w:t>
      </w:r>
      <w:r w:rsidR="00802308">
        <w:t>sordningen</w:t>
      </w:r>
      <w:r w:rsidR="007B0E30">
        <w:t xml:space="preserve"> end hvad der er forudsat i budgettet.</w:t>
      </w:r>
    </w:p>
    <w:p w:rsidR="007B0E30" w:rsidRDefault="007B0E30" w:rsidP="007B0E30">
      <w:r>
        <w:t>Det vil derfor være nødvendigt med en tilpasning af tilbudsstrukturen i misbrugsbehandlingen.</w:t>
      </w:r>
    </w:p>
    <w:p w:rsidR="00857BDA" w:rsidRPr="00BA4433" w:rsidRDefault="004C466C" w:rsidP="00857BDA">
      <w:r>
        <w:t xml:space="preserve"> </w:t>
      </w:r>
    </w:p>
    <w:p w:rsidR="00BA4433" w:rsidRPr="00BA4433" w:rsidRDefault="00BA4433" w:rsidP="00BA4433">
      <w:r w:rsidRPr="00BA4433">
        <w:t>Center for rusmidler og forebyggelse leverer en række mentorydelser hvor indtægterne ikke modsvarer udgifterne, fordi der er omkostninger forbundet med at levere ydelsen, som ikke kan indregnes i timeprisen. Det betyder at det vil være nødvendigt at reducere antallet af stillinger i mentorkorpset for at sikre at centret overholder rammen.</w:t>
      </w:r>
    </w:p>
    <w:p w:rsidR="00BA4433" w:rsidRDefault="00BA4433" w:rsidP="00857BDA"/>
    <w:p w:rsidR="00BA4433" w:rsidRDefault="00BA4433" w:rsidP="00857BDA"/>
    <w:p w:rsidR="004C466C" w:rsidRDefault="004C466C" w:rsidP="00D37A73"/>
    <w:p w:rsidR="004C466C" w:rsidRDefault="004C466C" w:rsidP="004C466C">
      <w:pPr>
        <w:rPr>
          <w:b/>
        </w:rPr>
      </w:pPr>
      <w:r w:rsidRPr="007A46D7">
        <w:rPr>
          <w:b/>
        </w:rPr>
        <w:t>Forsørgelsesydelser</w:t>
      </w:r>
    </w:p>
    <w:p w:rsidR="004C466C" w:rsidRDefault="004C466C" w:rsidP="00D37A73">
      <w:pPr>
        <w:rPr>
          <w:b/>
        </w:rPr>
      </w:pPr>
    </w:p>
    <w:p w:rsidR="008F19BD" w:rsidRDefault="008F19BD" w:rsidP="008F19BD">
      <w:r>
        <w:t>Budgettet for forsørgelsesydelser forventes overholdt</w:t>
      </w:r>
      <w:r w:rsidR="00AC2869">
        <w:t>.</w:t>
      </w:r>
    </w:p>
    <w:p w:rsidR="00AC2869" w:rsidRDefault="00AC2869" w:rsidP="008F19BD"/>
    <w:p w:rsidR="008F19BD" w:rsidRDefault="008F19BD" w:rsidP="008F19BD">
      <w:r>
        <w:t>Førtidspensions- og fleksjobreformen betyder at der forventes en betragtelig nedgang i antallet af tilkendte pensioner og særligt til personer under 40 år, som i stedet skal tilbydes et ressourceforløb og/eller fleksjob.</w:t>
      </w:r>
    </w:p>
    <w:p w:rsidR="008F19BD" w:rsidRDefault="008F19BD" w:rsidP="008F19BD"/>
    <w:p w:rsidR="008F19BD" w:rsidRDefault="008F19BD" w:rsidP="008F19BD">
      <w:r>
        <w:t xml:space="preserve">Reduktionen.på førtidspension vil skulle finansiere de nye ressourceforløb og tilgangen på ledighedsydelse. </w:t>
      </w:r>
    </w:p>
    <w:p w:rsidR="008F19BD" w:rsidRDefault="008F19BD" w:rsidP="008F19BD"/>
    <w:p w:rsidR="008F19BD" w:rsidRDefault="008F19BD" w:rsidP="008F19BD">
      <w:r>
        <w:t xml:space="preserve">Der er størst frafald fra de ældre ordninger med </w:t>
      </w:r>
      <w:r w:rsidR="00AC2869">
        <w:t>lavere kommunal medfinansiering</w:t>
      </w:r>
      <w:r>
        <w:t>. Dette betyder at de kommunale udgifter til førtidspension ikke vil fa</w:t>
      </w:r>
      <w:r w:rsidR="00D74ED5">
        <w:t>lde helt så hurtigt som ændringer i førtidspensionstilkendelser kunne indikere.</w:t>
      </w:r>
    </w:p>
    <w:p w:rsidR="00AC2869" w:rsidRDefault="00AC2869" w:rsidP="008F19BD"/>
    <w:p w:rsidR="00AC2869" w:rsidRDefault="00AC2869" w:rsidP="008F19BD">
      <w:r>
        <w:t>Der er i 2. halvår en overgangsordning, hvor personer på de gamle pensionsordninger har mulighed for at konvertere til den nye ordning, dog vil medfinansieringsandelen være uændret.</w:t>
      </w:r>
    </w:p>
    <w:p w:rsidR="00226E2A" w:rsidRDefault="00226E2A" w:rsidP="008F19BD"/>
    <w:tbl>
      <w:tblPr>
        <w:tblW w:w="10777" w:type="dxa"/>
        <w:jc w:val="center"/>
        <w:tblInd w:w="55" w:type="dxa"/>
        <w:tblCellMar>
          <w:left w:w="70" w:type="dxa"/>
          <w:right w:w="70" w:type="dxa"/>
        </w:tblCellMar>
        <w:tblLook w:val="04A0"/>
      </w:tblPr>
      <w:tblGrid>
        <w:gridCol w:w="2716"/>
        <w:gridCol w:w="640"/>
        <w:gridCol w:w="651"/>
        <w:gridCol w:w="720"/>
        <w:gridCol w:w="663"/>
        <w:gridCol w:w="696"/>
        <w:gridCol w:w="651"/>
        <w:gridCol w:w="581"/>
        <w:gridCol w:w="708"/>
        <w:gridCol w:w="696"/>
        <w:gridCol w:w="651"/>
        <w:gridCol w:w="708"/>
        <w:gridCol w:w="696"/>
      </w:tblGrid>
      <w:tr w:rsidR="00226E2A" w:rsidRPr="00226E2A" w:rsidTr="00226E2A">
        <w:trPr>
          <w:trHeight w:val="300"/>
          <w:jc w:val="center"/>
        </w:trPr>
        <w:tc>
          <w:tcPr>
            <w:tcW w:w="2716" w:type="dxa"/>
            <w:tcBorders>
              <w:top w:val="single" w:sz="8" w:space="0" w:color="auto"/>
              <w:left w:val="single" w:sz="8" w:space="0" w:color="auto"/>
              <w:bottom w:val="single" w:sz="4" w:space="0" w:color="auto"/>
              <w:right w:val="single" w:sz="4" w:space="0" w:color="auto"/>
            </w:tcBorders>
            <w:shd w:val="clear" w:color="000000" w:fill="8DB4E3"/>
            <w:noWrap/>
            <w:vAlign w:val="bottom"/>
            <w:hideMark/>
          </w:tcPr>
          <w:p w:rsidR="00226E2A" w:rsidRPr="00226E2A" w:rsidRDefault="00226E2A" w:rsidP="00226E2A">
            <w:pPr>
              <w:rPr>
                <w:rFonts w:cs="Arial"/>
                <w:color w:val="000000"/>
                <w:sz w:val="16"/>
                <w:szCs w:val="16"/>
              </w:rPr>
            </w:pPr>
            <w:r w:rsidRPr="00226E2A">
              <w:rPr>
                <w:rFonts w:cs="Arial"/>
                <w:color w:val="000000"/>
                <w:sz w:val="16"/>
                <w:szCs w:val="16"/>
              </w:rPr>
              <w:t> </w:t>
            </w:r>
          </w:p>
        </w:tc>
        <w:tc>
          <w:tcPr>
            <w:tcW w:w="8061" w:type="dxa"/>
            <w:gridSpan w:val="12"/>
            <w:tcBorders>
              <w:top w:val="single" w:sz="8" w:space="0" w:color="auto"/>
              <w:left w:val="nil"/>
              <w:bottom w:val="single" w:sz="4" w:space="0" w:color="auto"/>
              <w:right w:val="single" w:sz="8" w:space="0" w:color="000000"/>
            </w:tcBorders>
            <w:shd w:val="clear" w:color="000000" w:fill="8DB4E3"/>
            <w:noWrap/>
            <w:vAlign w:val="bottom"/>
            <w:hideMark/>
          </w:tcPr>
          <w:p w:rsidR="00226E2A" w:rsidRPr="00226E2A" w:rsidRDefault="00226E2A" w:rsidP="00226E2A">
            <w:pPr>
              <w:jc w:val="center"/>
              <w:rPr>
                <w:rFonts w:cs="Arial"/>
                <w:b/>
                <w:bCs/>
                <w:color w:val="000000"/>
                <w:sz w:val="16"/>
                <w:szCs w:val="16"/>
              </w:rPr>
            </w:pPr>
            <w:r w:rsidRPr="00226E2A">
              <w:rPr>
                <w:rFonts w:cs="Arial"/>
                <w:b/>
                <w:bCs/>
                <w:color w:val="000000"/>
                <w:sz w:val="16"/>
                <w:szCs w:val="16"/>
              </w:rPr>
              <w:t>2013</w:t>
            </w:r>
          </w:p>
        </w:tc>
      </w:tr>
      <w:tr w:rsidR="00226E2A" w:rsidRPr="00226E2A" w:rsidTr="00226E2A">
        <w:trPr>
          <w:trHeight w:val="300"/>
          <w:jc w:val="center"/>
        </w:trPr>
        <w:tc>
          <w:tcPr>
            <w:tcW w:w="2716" w:type="dxa"/>
            <w:tcBorders>
              <w:top w:val="nil"/>
              <w:left w:val="single" w:sz="8" w:space="0" w:color="auto"/>
              <w:bottom w:val="single" w:sz="4" w:space="0" w:color="auto"/>
              <w:right w:val="single" w:sz="4" w:space="0" w:color="auto"/>
            </w:tcBorders>
            <w:shd w:val="clear" w:color="000000" w:fill="8DB4E3"/>
            <w:noWrap/>
            <w:vAlign w:val="bottom"/>
            <w:hideMark/>
          </w:tcPr>
          <w:p w:rsidR="00226E2A" w:rsidRPr="00226E2A" w:rsidRDefault="00226E2A" w:rsidP="00226E2A">
            <w:pPr>
              <w:rPr>
                <w:rFonts w:cs="Arial"/>
                <w:b/>
                <w:bCs/>
                <w:color w:val="000000"/>
                <w:sz w:val="16"/>
                <w:szCs w:val="16"/>
              </w:rPr>
            </w:pPr>
            <w:r w:rsidRPr="00226E2A">
              <w:rPr>
                <w:rFonts w:cs="Arial"/>
                <w:b/>
                <w:bCs/>
                <w:color w:val="000000"/>
                <w:sz w:val="16"/>
                <w:szCs w:val="16"/>
              </w:rPr>
              <w:t>Førtidspensioner - personer</w:t>
            </w:r>
          </w:p>
        </w:tc>
        <w:tc>
          <w:tcPr>
            <w:tcW w:w="640" w:type="dxa"/>
            <w:tcBorders>
              <w:top w:val="nil"/>
              <w:left w:val="nil"/>
              <w:bottom w:val="single" w:sz="4" w:space="0" w:color="auto"/>
              <w:right w:val="nil"/>
            </w:tcBorders>
            <w:shd w:val="clear" w:color="000000" w:fill="C2D69A"/>
            <w:noWrap/>
            <w:vAlign w:val="bottom"/>
            <w:hideMark/>
          </w:tcPr>
          <w:p w:rsidR="00226E2A" w:rsidRPr="00226E2A" w:rsidRDefault="00226E2A" w:rsidP="00226E2A">
            <w:pPr>
              <w:jc w:val="center"/>
              <w:rPr>
                <w:rFonts w:cs="Arial"/>
                <w:b/>
                <w:bCs/>
                <w:sz w:val="16"/>
                <w:szCs w:val="16"/>
              </w:rPr>
            </w:pPr>
            <w:r w:rsidRPr="00226E2A">
              <w:rPr>
                <w:rFonts w:cs="Arial"/>
                <w:b/>
                <w:bCs/>
                <w:sz w:val="16"/>
                <w:szCs w:val="16"/>
              </w:rPr>
              <w:t>jan-13</w:t>
            </w:r>
          </w:p>
        </w:tc>
        <w:tc>
          <w:tcPr>
            <w:tcW w:w="651" w:type="dxa"/>
            <w:tcBorders>
              <w:top w:val="nil"/>
              <w:left w:val="nil"/>
              <w:bottom w:val="single" w:sz="4" w:space="0" w:color="auto"/>
              <w:right w:val="nil"/>
            </w:tcBorders>
            <w:shd w:val="clear" w:color="000000" w:fill="C2D69A"/>
            <w:noWrap/>
            <w:vAlign w:val="bottom"/>
            <w:hideMark/>
          </w:tcPr>
          <w:p w:rsidR="00226E2A" w:rsidRPr="00226E2A" w:rsidRDefault="00226E2A" w:rsidP="00226E2A">
            <w:pPr>
              <w:jc w:val="center"/>
              <w:rPr>
                <w:rFonts w:cs="Arial"/>
                <w:b/>
                <w:bCs/>
                <w:sz w:val="16"/>
                <w:szCs w:val="16"/>
              </w:rPr>
            </w:pPr>
            <w:r w:rsidRPr="00226E2A">
              <w:rPr>
                <w:rFonts w:cs="Arial"/>
                <w:b/>
                <w:bCs/>
                <w:sz w:val="16"/>
                <w:szCs w:val="16"/>
              </w:rPr>
              <w:t>feb-13</w:t>
            </w:r>
          </w:p>
        </w:tc>
        <w:tc>
          <w:tcPr>
            <w:tcW w:w="720" w:type="dxa"/>
            <w:tcBorders>
              <w:top w:val="nil"/>
              <w:left w:val="nil"/>
              <w:bottom w:val="single" w:sz="4" w:space="0" w:color="auto"/>
              <w:right w:val="nil"/>
            </w:tcBorders>
            <w:shd w:val="clear" w:color="000000" w:fill="C2D69A"/>
            <w:noWrap/>
            <w:vAlign w:val="bottom"/>
            <w:hideMark/>
          </w:tcPr>
          <w:p w:rsidR="00226E2A" w:rsidRPr="00226E2A" w:rsidRDefault="00226E2A" w:rsidP="00226E2A">
            <w:pPr>
              <w:jc w:val="center"/>
              <w:rPr>
                <w:rFonts w:cs="Arial"/>
                <w:b/>
                <w:bCs/>
                <w:sz w:val="16"/>
                <w:szCs w:val="16"/>
              </w:rPr>
            </w:pPr>
            <w:r w:rsidRPr="00226E2A">
              <w:rPr>
                <w:rFonts w:cs="Arial"/>
                <w:b/>
                <w:bCs/>
                <w:sz w:val="16"/>
                <w:szCs w:val="16"/>
              </w:rPr>
              <w:t>mar-13</w:t>
            </w:r>
          </w:p>
        </w:tc>
        <w:tc>
          <w:tcPr>
            <w:tcW w:w="663" w:type="dxa"/>
            <w:tcBorders>
              <w:top w:val="nil"/>
              <w:left w:val="nil"/>
              <w:bottom w:val="single" w:sz="4" w:space="0" w:color="auto"/>
              <w:right w:val="nil"/>
            </w:tcBorders>
            <w:shd w:val="clear" w:color="000000" w:fill="C2D69A"/>
            <w:noWrap/>
            <w:vAlign w:val="bottom"/>
            <w:hideMark/>
          </w:tcPr>
          <w:p w:rsidR="00226E2A" w:rsidRPr="00226E2A" w:rsidRDefault="00226E2A" w:rsidP="00226E2A">
            <w:pPr>
              <w:jc w:val="center"/>
              <w:rPr>
                <w:rFonts w:cs="Arial"/>
                <w:b/>
                <w:bCs/>
                <w:sz w:val="16"/>
                <w:szCs w:val="16"/>
              </w:rPr>
            </w:pPr>
            <w:r w:rsidRPr="00226E2A">
              <w:rPr>
                <w:rFonts w:cs="Arial"/>
                <w:b/>
                <w:bCs/>
                <w:sz w:val="16"/>
                <w:szCs w:val="16"/>
              </w:rPr>
              <w:t>apr-13</w:t>
            </w:r>
          </w:p>
        </w:tc>
        <w:tc>
          <w:tcPr>
            <w:tcW w:w="696" w:type="dxa"/>
            <w:tcBorders>
              <w:top w:val="nil"/>
              <w:left w:val="nil"/>
              <w:bottom w:val="single" w:sz="4" w:space="0" w:color="auto"/>
              <w:right w:val="nil"/>
            </w:tcBorders>
            <w:shd w:val="clear" w:color="000000" w:fill="C2D69A"/>
            <w:noWrap/>
            <w:vAlign w:val="bottom"/>
            <w:hideMark/>
          </w:tcPr>
          <w:p w:rsidR="00226E2A" w:rsidRPr="00226E2A" w:rsidRDefault="00226E2A" w:rsidP="00226E2A">
            <w:pPr>
              <w:jc w:val="center"/>
              <w:rPr>
                <w:rFonts w:cs="Arial"/>
                <w:b/>
                <w:bCs/>
                <w:sz w:val="16"/>
                <w:szCs w:val="16"/>
              </w:rPr>
            </w:pPr>
            <w:r w:rsidRPr="00226E2A">
              <w:rPr>
                <w:rFonts w:cs="Arial"/>
                <w:b/>
                <w:bCs/>
                <w:sz w:val="16"/>
                <w:szCs w:val="16"/>
              </w:rPr>
              <w:t>maj-13</w:t>
            </w:r>
          </w:p>
        </w:tc>
        <w:tc>
          <w:tcPr>
            <w:tcW w:w="651" w:type="dxa"/>
            <w:tcBorders>
              <w:top w:val="nil"/>
              <w:left w:val="nil"/>
              <w:bottom w:val="single" w:sz="4" w:space="0" w:color="auto"/>
              <w:right w:val="nil"/>
            </w:tcBorders>
            <w:shd w:val="clear" w:color="000000" w:fill="C2D69A"/>
            <w:noWrap/>
            <w:vAlign w:val="bottom"/>
            <w:hideMark/>
          </w:tcPr>
          <w:p w:rsidR="00226E2A" w:rsidRPr="00226E2A" w:rsidRDefault="00226E2A" w:rsidP="00226E2A">
            <w:pPr>
              <w:jc w:val="center"/>
              <w:rPr>
                <w:rFonts w:cs="Arial"/>
                <w:b/>
                <w:bCs/>
                <w:sz w:val="16"/>
                <w:szCs w:val="16"/>
              </w:rPr>
            </w:pPr>
            <w:r w:rsidRPr="00226E2A">
              <w:rPr>
                <w:rFonts w:cs="Arial"/>
                <w:b/>
                <w:bCs/>
                <w:sz w:val="16"/>
                <w:szCs w:val="16"/>
              </w:rPr>
              <w:t>jun-13</w:t>
            </w:r>
          </w:p>
        </w:tc>
        <w:tc>
          <w:tcPr>
            <w:tcW w:w="581" w:type="dxa"/>
            <w:tcBorders>
              <w:top w:val="nil"/>
              <w:left w:val="nil"/>
              <w:bottom w:val="single" w:sz="4" w:space="0" w:color="auto"/>
              <w:right w:val="nil"/>
            </w:tcBorders>
            <w:shd w:val="clear" w:color="000000" w:fill="C2D69A"/>
            <w:noWrap/>
            <w:vAlign w:val="bottom"/>
            <w:hideMark/>
          </w:tcPr>
          <w:p w:rsidR="00226E2A" w:rsidRPr="00226E2A" w:rsidRDefault="00226E2A" w:rsidP="00226E2A">
            <w:pPr>
              <w:jc w:val="center"/>
              <w:rPr>
                <w:rFonts w:cs="Arial"/>
                <w:b/>
                <w:bCs/>
                <w:sz w:val="16"/>
                <w:szCs w:val="16"/>
              </w:rPr>
            </w:pPr>
            <w:r w:rsidRPr="00226E2A">
              <w:rPr>
                <w:rFonts w:cs="Arial"/>
                <w:b/>
                <w:bCs/>
                <w:sz w:val="16"/>
                <w:szCs w:val="16"/>
              </w:rPr>
              <w:t>jul-13</w:t>
            </w:r>
          </w:p>
        </w:tc>
        <w:tc>
          <w:tcPr>
            <w:tcW w:w="708" w:type="dxa"/>
            <w:tcBorders>
              <w:top w:val="nil"/>
              <w:left w:val="nil"/>
              <w:bottom w:val="single" w:sz="4" w:space="0" w:color="auto"/>
              <w:right w:val="nil"/>
            </w:tcBorders>
            <w:shd w:val="clear" w:color="000000" w:fill="C2D69A"/>
            <w:noWrap/>
            <w:vAlign w:val="bottom"/>
            <w:hideMark/>
          </w:tcPr>
          <w:p w:rsidR="00226E2A" w:rsidRPr="00226E2A" w:rsidRDefault="00226E2A" w:rsidP="00226E2A">
            <w:pPr>
              <w:jc w:val="center"/>
              <w:rPr>
                <w:rFonts w:cs="Arial"/>
                <w:b/>
                <w:bCs/>
                <w:sz w:val="16"/>
                <w:szCs w:val="16"/>
              </w:rPr>
            </w:pPr>
            <w:r w:rsidRPr="00226E2A">
              <w:rPr>
                <w:rFonts w:cs="Arial"/>
                <w:b/>
                <w:bCs/>
                <w:sz w:val="16"/>
                <w:szCs w:val="16"/>
              </w:rPr>
              <w:t>aug-13</w:t>
            </w:r>
          </w:p>
        </w:tc>
        <w:tc>
          <w:tcPr>
            <w:tcW w:w="696" w:type="dxa"/>
            <w:tcBorders>
              <w:top w:val="nil"/>
              <w:left w:val="nil"/>
              <w:bottom w:val="single" w:sz="4" w:space="0" w:color="auto"/>
              <w:right w:val="nil"/>
            </w:tcBorders>
            <w:shd w:val="clear" w:color="000000" w:fill="E6B9B8"/>
            <w:noWrap/>
            <w:vAlign w:val="bottom"/>
            <w:hideMark/>
          </w:tcPr>
          <w:p w:rsidR="00226E2A" w:rsidRPr="00226E2A" w:rsidRDefault="00226E2A" w:rsidP="00226E2A">
            <w:pPr>
              <w:jc w:val="center"/>
              <w:rPr>
                <w:rFonts w:cs="Arial"/>
                <w:b/>
                <w:bCs/>
                <w:sz w:val="16"/>
                <w:szCs w:val="16"/>
              </w:rPr>
            </w:pPr>
            <w:r w:rsidRPr="00226E2A">
              <w:rPr>
                <w:rFonts w:cs="Arial"/>
                <w:b/>
                <w:bCs/>
                <w:sz w:val="16"/>
                <w:szCs w:val="16"/>
              </w:rPr>
              <w:t>sep-13</w:t>
            </w:r>
          </w:p>
        </w:tc>
        <w:tc>
          <w:tcPr>
            <w:tcW w:w="651" w:type="dxa"/>
            <w:tcBorders>
              <w:top w:val="nil"/>
              <w:left w:val="nil"/>
              <w:bottom w:val="single" w:sz="4" w:space="0" w:color="auto"/>
              <w:right w:val="nil"/>
            </w:tcBorders>
            <w:shd w:val="clear" w:color="000000" w:fill="E6B9B8"/>
            <w:noWrap/>
            <w:vAlign w:val="bottom"/>
            <w:hideMark/>
          </w:tcPr>
          <w:p w:rsidR="00226E2A" w:rsidRPr="00226E2A" w:rsidRDefault="00226E2A" w:rsidP="00226E2A">
            <w:pPr>
              <w:jc w:val="center"/>
              <w:rPr>
                <w:rFonts w:cs="Arial"/>
                <w:b/>
                <w:bCs/>
                <w:sz w:val="16"/>
                <w:szCs w:val="16"/>
              </w:rPr>
            </w:pPr>
            <w:r w:rsidRPr="00226E2A">
              <w:rPr>
                <w:rFonts w:cs="Arial"/>
                <w:b/>
                <w:bCs/>
                <w:sz w:val="16"/>
                <w:szCs w:val="16"/>
              </w:rPr>
              <w:t>okt-13</w:t>
            </w:r>
          </w:p>
        </w:tc>
        <w:tc>
          <w:tcPr>
            <w:tcW w:w="708" w:type="dxa"/>
            <w:tcBorders>
              <w:top w:val="nil"/>
              <w:left w:val="nil"/>
              <w:bottom w:val="single" w:sz="4" w:space="0" w:color="auto"/>
              <w:right w:val="nil"/>
            </w:tcBorders>
            <w:shd w:val="clear" w:color="000000" w:fill="E6B9B8"/>
            <w:noWrap/>
            <w:vAlign w:val="bottom"/>
            <w:hideMark/>
          </w:tcPr>
          <w:p w:rsidR="00226E2A" w:rsidRPr="00226E2A" w:rsidRDefault="00226E2A" w:rsidP="00226E2A">
            <w:pPr>
              <w:jc w:val="center"/>
              <w:rPr>
                <w:rFonts w:cs="Arial"/>
                <w:b/>
                <w:bCs/>
                <w:sz w:val="16"/>
                <w:szCs w:val="16"/>
              </w:rPr>
            </w:pPr>
            <w:r w:rsidRPr="00226E2A">
              <w:rPr>
                <w:rFonts w:cs="Arial"/>
                <w:b/>
                <w:bCs/>
                <w:sz w:val="16"/>
                <w:szCs w:val="16"/>
              </w:rPr>
              <w:t>nov-13</w:t>
            </w:r>
          </w:p>
        </w:tc>
        <w:tc>
          <w:tcPr>
            <w:tcW w:w="696" w:type="dxa"/>
            <w:tcBorders>
              <w:top w:val="nil"/>
              <w:left w:val="nil"/>
              <w:bottom w:val="single" w:sz="4" w:space="0" w:color="auto"/>
              <w:right w:val="single" w:sz="8" w:space="0" w:color="auto"/>
            </w:tcBorders>
            <w:shd w:val="clear" w:color="000000" w:fill="E6B9B8"/>
            <w:noWrap/>
            <w:vAlign w:val="bottom"/>
            <w:hideMark/>
          </w:tcPr>
          <w:p w:rsidR="00226E2A" w:rsidRPr="00226E2A" w:rsidRDefault="00226E2A" w:rsidP="00226E2A">
            <w:pPr>
              <w:jc w:val="center"/>
              <w:rPr>
                <w:rFonts w:cs="Arial"/>
                <w:b/>
                <w:bCs/>
                <w:sz w:val="16"/>
                <w:szCs w:val="16"/>
              </w:rPr>
            </w:pPr>
            <w:r w:rsidRPr="00226E2A">
              <w:rPr>
                <w:rFonts w:cs="Arial"/>
                <w:b/>
                <w:bCs/>
                <w:sz w:val="16"/>
                <w:szCs w:val="16"/>
              </w:rPr>
              <w:t>dec-13</w:t>
            </w:r>
          </w:p>
        </w:tc>
      </w:tr>
      <w:tr w:rsidR="00226E2A" w:rsidRPr="00226E2A" w:rsidTr="00226E2A">
        <w:trPr>
          <w:trHeight w:val="300"/>
          <w:jc w:val="center"/>
        </w:trPr>
        <w:tc>
          <w:tcPr>
            <w:tcW w:w="2716" w:type="dxa"/>
            <w:tcBorders>
              <w:top w:val="nil"/>
              <w:left w:val="single" w:sz="8" w:space="0" w:color="auto"/>
              <w:bottom w:val="nil"/>
              <w:right w:val="nil"/>
            </w:tcBorders>
            <w:shd w:val="clear" w:color="auto" w:fill="auto"/>
            <w:noWrap/>
            <w:vAlign w:val="bottom"/>
            <w:hideMark/>
          </w:tcPr>
          <w:p w:rsidR="00226E2A" w:rsidRPr="00226E2A" w:rsidRDefault="00226E2A" w:rsidP="00226E2A">
            <w:pPr>
              <w:rPr>
                <w:rFonts w:cs="Arial"/>
                <w:color w:val="000000"/>
                <w:sz w:val="16"/>
                <w:szCs w:val="16"/>
              </w:rPr>
            </w:pPr>
            <w:r w:rsidRPr="00226E2A">
              <w:rPr>
                <w:rFonts w:cs="Arial"/>
                <w:color w:val="000000"/>
                <w:sz w:val="16"/>
                <w:szCs w:val="16"/>
              </w:rPr>
              <w:t>Forhøjet almindelig</w:t>
            </w:r>
          </w:p>
        </w:tc>
        <w:tc>
          <w:tcPr>
            <w:tcW w:w="640"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84</w:t>
            </w:r>
          </w:p>
        </w:tc>
        <w:tc>
          <w:tcPr>
            <w:tcW w:w="651"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81</w:t>
            </w:r>
          </w:p>
        </w:tc>
        <w:tc>
          <w:tcPr>
            <w:tcW w:w="720"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80</w:t>
            </w:r>
          </w:p>
        </w:tc>
        <w:tc>
          <w:tcPr>
            <w:tcW w:w="663"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80</w:t>
            </w:r>
          </w:p>
        </w:tc>
        <w:tc>
          <w:tcPr>
            <w:tcW w:w="696"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80</w:t>
            </w:r>
          </w:p>
        </w:tc>
        <w:tc>
          <w:tcPr>
            <w:tcW w:w="651"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78</w:t>
            </w:r>
          </w:p>
        </w:tc>
        <w:tc>
          <w:tcPr>
            <w:tcW w:w="581"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74</w:t>
            </w:r>
          </w:p>
        </w:tc>
        <w:tc>
          <w:tcPr>
            <w:tcW w:w="708"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71</w:t>
            </w:r>
          </w:p>
        </w:tc>
        <w:tc>
          <w:tcPr>
            <w:tcW w:w="696"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70</w:t>
            </w:r>
          </w:p>
        </w:tc>
        <w:tc>
          <w:tcPr>
            <w:tcW w:w="651"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69</w:t>
            </w:r>
          </w:p>
        </w:tc>
        <w:tc>
          <w:tcPr>
            <w:tcW w:w="708"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69</w:t>
            </w:r>
          </w:p>
        </w:tc>
        <w:tc>
          <w:tcPr>
            <w:tcW w:w="696" w:type="dxa"/>
            <w:tcBorders>
              <w:top w:val="nil"/>
              <w:left w:val="nil"/>
              <w:bottom w:val="nil"/>
              <w:right w:val="single" w:sz="8" w:space="0" w:color="auto"/>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69</w:t>
            </w:r>
          </w:p>
        </w:tc>
      </w:tr>
      <w:tr w:rsidR="00226E2A" w:rsidRPr="00226E2A" w:rsidTr="00226E2A">
        <w:trPr>
          <w:trHeight w:val="300"/>
          <w:jc w:val="center"/>
        </w:trPr>
        <w:tc>
          <w:tcPr>
            <w:tcW w:w="2716" w:type="dxa"/>
            <w:tcBorders>
              <w:top w:val="nil"/>
              <w:left w:val="single" w:sz="8" w:space="0" w:color="auto"/>
              <w:bottom w:val="nil"/>
              <w:right w:val="nil"/>
            </w:tcBorders>
            <w:shd w:val="clear" w:color="000000" w:fill="DBE5F1"/>
            <w:noWrap/>
            <w:vAlign w:val="bottom"/>
            <w:hideMark/>
          </w:tcPr>
          <w:p w:rsidR="00226E2A" w:rsidRPr="00226E2A" w:rsidRDefault="00226E2A" w:rsidP="00226E2A">
            <w:pPr>
              <w:rPr>
                <w:rFonts w:cs="Arial"/>
                <w:color w:val="000000"/>
                <w:sz w:val="16"/>
                <w:szCs w:val="16"/>
              </w:rPr>
            </w:pPr>
            <w:r w:rsidRPr="00226E2A">
              <w:rPr>
                <w:rFonts w:cs="Arial"/>
                <w:color w:val="000000"/>
                <w:sz w:val="16"/>
                <w:szCs w:val="16"/>
              </w:rPr>
              <w:t>Mellemste</w:t>
            </w:r>
          </w:p>
        </w:tc>
        <w:tc>
          <w:tcPr>
            <w:tcW w:w="640" w:type="dxa"/>
            <w:tcBorders>
              <w:top w:val="nil"/>
              <w:left w:val="nil"/>
              <w:bottom w:val="nil"/>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391</w:t>
            </w:r>
          </w:p>
        </w:tc>
        <w:tc>
          <w:tcPr>
            <w:tcW w:w="651" w:type="dxa"/>
            <w:tcBorders>
              <w:top w:val="nil"/>
              <w:left w:val="nil"/>
              <w:bottom w:val="nil"/>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391</w:t>
            </w:r>
          </w:p>
        </w:tc>
        <w:tc>
          <w:tcPr>
            <w:tcW w:w="720" w:type="dxa"/>
            <w:tcBorders>
              <w:top w:val="nil"/>
              <w:left w:val="nil"/>
              <w:bottom w:val="nil"/>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385</w:t>
            </w:r>
          </w:p>
        </w:tc>
        <w:tc>
          <w:tcPr>
            <w:tcW w:w="663" w:type="dxa"/>
            <w:tcBorders>
              <w:top w:val="nil"/>
              <w:left w:val="nil"/>
              <w:bottom w:val="nil"/>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385</w:t>
            </w:r>
          </w:p>
        </w:tc>
        <w:tc>
          <w:tcPr>
            <w:tcW w:w="696" w:type="dxa"/>
            <w:tcBorders>
              <w:top w:val="nil"/>
              <w:left w:val="nil"/>
              <w:bottom w:val="nil"/>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387</w:t>
            </w:r>
          </w:p>
        </w:tc>
        <w:tc>
          <w:tcPr>
            <w:tcW w:w="651" w:type="dxa"/>
            <w:tcBorders>
              <w:top w:val="nil"/>
              <w:left w:val="nil"/>
              <w:bottom w:val="nil"/>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381</w:t>
            </w:r>
          </w:p>
        </w:tc>
        <w:tc>
          <w:tcPr>
            <w:tcW w:w="581" w:type="dxa"/>
            <w:tcBorders>
              <w:top w:val="nil"/>
              <w:left w:val="nil"/>
              <w:bottom w:val="nil"/>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372</w:t>
            </w:r>
          </w:p>
        </w:tc>
        <w:tc>
          <w:tcPr>
            <w:tcW w:w="708" w:type="dxa"/>
            <w:tcBorders>
              <w:top w:val="nil"/>
              <w:left w:val="nil"/>
              <w:bottom w:val="nil"/>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368</w:t>
            </w:r>
          </w:p>
        </w:tc>
        <w:tc>
          <w:tcPr>
            <w:tcW w:w="696" w:type="dxa"/>
            <w:tcBorders>
              <w:top w:val="nil"/>
              <w:left w:val="nil"/>
              <w:bottom w:val="nil"/>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365</w:t>
            </w:r>
          </w:p>
        </w:tc>
        <w:tc>
          <w:tcPr>
            <w:tcW w:w="651" w:type="dxa"/>
            <w:tcBorders>
              <w:top w:val="nil"/>
              <w:left w:val="nil"/>
              <w:bottom w:val="nil"/>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360</w:t>
            </w:r>
          </w:p>
        </w:tc>
        <w:tc>
          <w:tcPr>
            <w:tcW w:w="708" w:type="dxa"/>
            <w:tcBorders>
              <w:top w:val="nil"/>
              <w:left w:val="nil"/>
              <w:bottom w:val="nil"/>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359</w:t>
            </w:r>
          </w:p>
        </w:tc>
        <w:tc>
          <w:tcPr>
            <w:tcW w:w="696" w:type="dxa"/>
            <w:tcBorders>
              <w:top w:val="nil"/>
              <w:left w:val="nil"/>
              <w:bottom w:val="nil"/>
              <w:right w:val="single" w:sz="8" w:space="0" w:color="auto"/>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353</w:t>
            </w:r>
          </w:p>
        </w:tc>
      </w:tr>
      <w:tr w:rsidR="00226E2A" w:rsidRPr="00226E2A" w:rsidTr="00226E2A">
        <w:trPr>
          <w:trHeight w:val="300"/>
          <w:jc w:val="center"/>
        </w:trPr>
        <w:tc>
          <w:tcPr>
            <w:tcW w:w="2716" w:type="dxa"/>
            <w:tcBorders>
              <w:top w:val="nil"/>
              <w:left w:val="single" w:sz="8" w:space="0" w:color="auto"/>
              <w:bottom w:val="nil"/>
              <w:right w:val="nil"/>
            </w:tcBorders>
            <w:shd w:val="clear" w:color="auto" w:fill="auto"/>
            <w:noWrap/>
            <w:vAlign w:val="bottom"/>
            <w:hideMark/>
          </w:tcPr>
          <w:p w:rsidR="00226E2A" w:rsidRPr="00226E2A" w:rsidRDefault="00226E2A" w:rsidP="00226E2A">
            <w:pPr>
              <w:rPr>
                <w:rFonts w:cs="Arial"/>
                <w:color w:val="000000"/>
                <w:sz w:val="16"/>
                <w:szCs w:val="16"/>
              </w:rPr>
            </w:pPr>
            <w:r w:rsidRPr="00226E2A">
              <w:rPr>
                <w:rFonts w:cs="Arial"/>
                <w:color w:val="000000"/>
                <w:sz w:val="16"/>
                <w:szCs w:val="16"/>
              </w:rPr>
              <w:t>Højeste</w:t>
            </w:r>
          </w:p>
        </w:tc>
        <w:tc>
          <w:tcPr>
            <w:tcW w:w="640"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356</w:t>
            </w:r>
          </w:p>
        </w:tc>
        <w:tc>
          <w:tcPr>
            <w:tcW w:w="651"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358</w:t>
            </w:r>
          </w:p>
        </w:tc>
        <w:tc>
          <w:tcPr>
            <w:tcW w:w="720"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357</w:t>
            </w:r>
          </w:p>
        </w:tc>
        <w:tc>
          <w:tcPr>
            <w:tcW w:w="663"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358</w:t>
            </w:r>
          </w:p>
        </w:tc>
        <w:tc>
          <w:tcPr>
            <w:tcW w:w="696"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357</w:t>
            </w:r>
          </w:p>
        </w:tc>
        <w:tc>
          <w:tcPr>
            <w:tcW w:w="651"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353</w:t>
            </w:r>
          </w:p>
        </w:tc>
        <w:tc>
          <w:tcPr>
            <w:tcW w:w="581"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348</w:t>
            </w:r>
          </w:p>
        </w:tc>
        <w:tc>
          <w:tcPr>
            <w:tcW w:w="708"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346</w:t>
            </w:r>
          </w:p>
        </w:tc>
        <w:tc>
          <w:tcPr>
            <w:tcW w:w="696"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346</w:t>
            </w:r>
          </w:p>
        </w:tc>
        <w:tc>
          <w:tcPr>
            <w:tcW w:w="651"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344</w:t>
            </w:r>
          </w:p>
        </w:tc>
        <w:tc>
          <w:tcPr>
            <w:tcW w:w="708" w:type="dxa"/>
            <w:tcBorders>
              <w:top w:val="nil"/>
              <w:left w:val="nil"/>
              <w:bottom w:val="nil"/>
              <w:right w:val="nil"/>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343</w:t>
            </w:r>
          </w:p>
        </w:tc>
        <w:tc>
          <w:tcPr>
            <w:tcW w:w="696" w:type="dxa"/>
            <w:tcBorders>
              <w:top w:val="nil"/>
              <w:left w:val="nil"/>
              <w:bottom w:val="nil"/>
              <w:right w:val="single" w:sz="8" w:space="0" w:color="auto"/>
            </w:tcBorders>
            <w:shd w:val="clear" w:color="auto" w:fill="auto"/>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341</w:t>
            </w:r>
          </w:p>
        </w:tc>
      </w:tr>
      <w:tr w:rsidR="00226E2A" w:rsidRPr="00226E2A" w:rsidTr="00226E2A">
        <w:trPr>
          <w:trHeight w:val="315"/>
          <w:jc w:val="center"/>
        </w:trPr>
        <w:tc>
          <w:tcPr>
            <w:tcW w:w="2716" w:type="dxa"/>
            <w:tcBorders>
              <w:top w:val="nil"/>
              <w:left w:val="single" w:sz="8" w:space="0" w:color="auto"/>
              <w:bottom w:val="single" w:sz="8" w:space="0" w:color="auto"/>
              <w:right w:val="nil"/>
            </w:tcBorders>
            <w:shd w:val="clear" w:color="000000" w:fill="DBE5F1"/>
            <w:noWrap/>
            <w:vAlign w:val="bottom"/>
            <w:hideMark/>
          </w:tcPr>
          <w:p w:rsidR="00226E2A" w:rsidRPr="00226E2A" w:rsidRDefault="00226E2A" w:rsidP="00226E2A">
            <w:pPr>
              <w:rPr>
                <w:rFonts w:cs="Arial"/>
                <w:color w:val="000000"/>
                <w:sz w:val="16"/>
                <w:szCs w:val="16"/>
              </w:rPr>
            </w:pPr>
            <w:r w:rsidRPr="00226E2A">
              <w:rPr>
                <w:rFonts w:cs="Arial"/>
                <w:color w:val="000000"/>
                <w:sz w:val="16"/>
                <w:szCs w:val="16"/>
              </w:rPr>
              <w:t>Førtidspension (nye)</w:t>
            </w:r>
          </w:p>
        </w:tc>
        <w:tc>
          <w:tcPr>
            <w:tcW w:w="640" w:type="dxa"/>
            <w:tcBorders>
              <w:top w:val="nil"/>
              <w:left w:val="nil"/>
              <w:bottom w:val="single" w:sz="8" w:space="0" w:color="auto"/>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1352</w:t>
            </w:r>
          </w:p>
        </w:tc>
        <w:tc>
          <w:tcPr>
            <w:tcW w:w="651" w:type="dxa"/>
            <w:tcBorders>
              <w:top w:val="nil"/>
              <w:left w:val="nil"/>
              <w:bottom w:val="single" w:sz="8" w:space="0" w:color="auto"/>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1356</w:t>
            </w:r>
          </w:p>
        </w:tc>
        <w:tc>
          <w:tcPr>
            <w:tcW w:w="720" w:type="dxa"/>
            <w:tcBorders>
              <w:top w:val="nil"/>
              <w:left w:val="nil"/>
              <w:bottom w:val="single" w:sz="8" w:space="0" w:color="auto"/>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1353</w:t>
            </w:r>
          </w:p>
        </w:tc>
        <w:tc>
          <w:tcPr>
            <w:tcW w:w="663" w:type="dxa"/>
            <w:tcBorders>
              <w:top w:val="nil"/>
              <w:left w:val="nil"/>
              <w:bottom w:val="single" w:sz="8" w:space="0" w:color="auto"/>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1349</w:t>
            </w:r>
          </w:p>
        </w:tc>
        <w:tc>
          <w:tcPr>
            <w:tcW w:w="696" w:type="dxa"/>
            <w:tcBorders>
              <w:top w:val="nil"/>
              <w:left w:val="nil"/>
              <w:bottom w:val="single" w:sz="8" w:space="0" w:color="auto"/>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1347</w:t>
            </w:r>
          </w:p>
        </w:tc>
        <w:tc>
          <w:tcPr>
            <w:tcW w:w="651" w:type="dxa"/>
            <w:tcBorders>
              <w:top w:val="nil"/>
              <w:left w:val="nil"/>
              <w:bottom w:val="single" w:sz="8" w:space="0" w:color="auto"/>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1349</w:t>
            </w:r>
          </w:p>
        </w:tc>
        <w:tc>
          <w:tcPr>
            <w:tcW w:w="581" w:type="dxa"/>
            <w:tcBorders>
              <w:top w:val="nil"/>
              <w:left w:val="nil"/>
              <w:bottom w:val="single" w:sz="8" w:space="0" w:color="auto"/>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1342</w:t>
            </w:r>
          </w:p>
        </w:tc>
        <w:tc>
          <w:tcPr>
            <w:tcW w:w="708" w:type="dxa"/>
            <w:tcBorders>
              <w:top w:val="nil"/>
              <w:left w:val="nil"/>
              <w:bottom w:val="single" w:sz="8" w:space="0" w:color="auto"/>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1355</w:t>
            </w:r>
          </w:p>
        </w:tc>
        <w:tc>
          <w:tcPr>
            <w:tcW w:w="696" w:type="dxa"/>
            <w:tcBorders>
              <w:top w:val="nil"/>
              <w:left w:val="nil"/>
              <w:bottom w:val="single" w:sz="8" w:space="0" w:color="auto"/>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1362</w:t>
            </w:r>
          </w:p>
        </w:tc>
        <w:tc>
          <w:tcPr>
            <w:tcW w:w="651" w:type="dxa"/>
            <w:tcBorders>
              <w:top w:val="nil"/>
              <w:left w:val="nil"/>
              <w:bottom w:val="single" w:sz="8" w:space="0" w:color="auto"/>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1368</w:t>
            </w:r>
          </w:p>
        </w:tc>
        <w:tc>
          <w:tcPr>
            <w:tcW w:w="708" w:type="dxa"/>
            <w:tcBorders>
              <w:top w:val="nil"/>
              <w:left w:val="nil"/>
              <w:bottom w:val="single" w:sz="8" w:space="0" w:color="auto"/>
              <w:right w:val="nil"/>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1376</w:t>
            </w:r>
          </w:p>
        </w:tc>
        <w:tc>
          <w:tcPr>
            <w:tcW w:w="696" w:type="dxa"/>
            <w:tcBorders>
              <w:top w:val="nil"/>
              <w:left w:val="nil"/>
              <w:bottom w:val="single" w:sz="8" w:space="0" w:color="auto"/>
              <w:right w:val="single" w:sz="8" w:space="0" w:color="auto"/>
            </w:tcBorders>
            <w:shd w:val="clear" w:color="000000" w:fill="DBE5F1"/>
            <w:noWrap/>
            <w:vAlign w:val="bottom"/>
            <w:hideMark/>
          </w:tcPr>
          <w:p w:rsidR="00226E2A" w:rsidRPr="00226E2A" w:rsidRDefault="00226E2A" w:rsidP="00226E2A">
            <w:pPr>
              <w:jc w:val="right"/>
              <w:rPr>
                <w:rFonts w:cs="Arial"/>
                <w:color w:val="000000"/>
                <w:sz w:val="16"/>
                <w:szCs w:val="16"/>
              </w:rPr>
            </w:pPr>
            <w:r w:rsidRPr="00226E2A">
              <w:rPr>
                <w:rFonts w:cs="Arial"/>
                <w:color w:val="000000"/>
                <w:sz w:val="16"/>
                <w:szCs w:val="16"/>
              </w:rPr>
              <w:t>1381</w:t>
            </w:r>
          </w:p>
        </w:tc>
      </w:tr>
      <w:tr w:rsidR="00226E2A" w:rsidRPr="00226E2A" w:rsidTr="00226E2A">
        <w:trPr>
          <w:trHeight w:val="300"/>
          <w:jc w:val="center"/>
        </w:trPr>
        <w:tc>
          <w:tcPr>
            <w:tcW w:w="10777" w:type="dxa"/>
            <w:gridSpan w:val="13"/>
            <w:tcBorders>
              <w:top w:val="nil"/>
              <w:bottom w:val="nil"/>
              <w:right w:val="nil"/>
            </w:tcBorders>
            <w:shd w:val="clear" w:color="auto" w:fill="auto"/>
            <w:noWrap/>
            <w:vAlign w:val="bottom"/>
            <w:hideMark/>
          </w:tcPr>
          <w:p w:rsidR="00226E2A" w:rsidRPr="00226E2A" w:rsidRDefault="00226E2A" w:rsidP="00226E2A">
            <w:pPr>
              <w:rPr>
                <w:rFonts w:cs="Arial"/>
                <w:color w:val="000000"/>
                <w:sz w:val="12"/>
                <w:szCs w:val="12"/>
              </w:rPr>
            </w:pPr>
            <w:r w:rsidRPr="00226E2A">
              <w:rPr>
                <w:rFonts w:cs="Arial"/>
                <w:color w:val="000000"/>
                <w:sz w:val="12"/>
                <w:szCs w:val="12"/>
              </w:rPr>
              <w:t>Fremtidige måneder er estimater baseret på et 12 og 24 måneders glidende gennemsnit af tilgangs/afgangs-raten og kommende afgang til folkepension samt en vurdering af populationen for målgruppen</w:t>
            </w:r>
          </w:p>
        </w:tc>
      </w:tr>
    </w:tbl>
    <w:p w:rsidR="00AC2869" w:rsidRDefault="00AC2869" w:rsidP="00226E2A"/>
    <w:sectPr w:rsidR="00AC2869" w:rsidSect="00226E2A">
      <w:pgSz w:w="11906" w:h="16838"/>
      <w:pgMar w:top="993" w:right="1814" w:bottom="340" w:left="181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1304"/>
  <w:hyphenationZone w:val="425"/>
  <w:noPunctuationKerning/>
  <w:characterSpacingControl w:val="doNotCompress"/>
  <w:compat/>
  <w:rsids>
    <w:rsidRoot w:val="00677834"/>
    <w:rsid w:val="00013BC7"/>
    <w:rsid w:val="000B02E7"/>
    <w:rsid w:val="000C7D08"/>
    <w:rsid w:val="000E35DE"/>
    <w:rsid w:val="00174E84"/>
    <w:rsid w:val="001E6E8F"/>
    <w:rsid w:val="00213AF3"/>
    <w:rsid w:val="00226E2A"/>
    <w:rsid w:val="002903A8"/>
    <w:rsid w:val="00341BB4"/>
    <w:rsid w:val="003B0A7B"/>
    <w:rsid w:val="003C27CD"/>
    <w:rsid w:val="004421AE"/>
    <w:rsid w:val="004C466C"/>
    <w:rsid w:val="00522D1C"/>
    <w:rsid w:val="0052680C"/>
    <w:rsid w:val="005B2B6D"/>
    <w:rsid w:val="00616EC8"/>
    <w:rsid w:val="00626BCC"/>
    <w:rsid w:val="006513DB"/>
    <w:rsid w:val="006705B9"/>
    <w:rsid w:val="0067236C"/>
    <w:rsid w:val="00672EA3"/>
    <w:rsid w:val="00677834"/>
    <w:rsid w:val="006A0954"/>
    <w:rsid w:val="007078E7"/>
    <w:rsid w:val="00791C89"/>
    <w:rsid w:val="007B0E30"/>
    <w:rsid w:val="007B4766"/>
    <w:rsid w:val="00802308"/>
    <w:rsid w:val="00805233"/>
    <w:rsid w:val="00827C01"/>
    <w:rsid w:val="00846F76"/>
    <w:rsid w:val="00857BDA"/>
    <w:rsid w:val="008B034D"/>
    <w:rsid w:val="008B3C5B"/>
    <w:rsid w:val="008D2567"/>
    <w:rsid w:val="008F19BD"/>
    <w:rsid w:val="008F4A08"/>
    <w:rsid w:val="00913690"/>
    <w:rsid w:val="00926FA1"/>
    <w:rsid w:val="009E07BA"/>
    <w:rsid w:val="00A10867"/>
    <w:rsid w:val="00AC2869"/>
    <w:rsid w:val="00AF3FD4"/>
    <w:rsid w:val="00BA4433"/>
    <w:rsid w:val="00BE3082"/>
    <w:rsid w:val="00C12D89"/>
    <w:rsid w:val="00CB48F6"/>
    <w:rsid w:val="00D37A73"/>
    <w:rsid w:val="00D4195A"/>
    <w:rsid w:val="00D74ED5"/>
    <w:rsid w:val="00D927ED"/>
    <w:rsid w:val="00DA701A"/>
    <w:rsid w:val="00DD5224"/>
    <w:rsid w:val="00EC2AF8"/>
    <w:rsid w:val="00F8144D"/>
    <w:rsid w:val="00F9208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834"/>
    <w:rPr>
      <w:rFonts w:ascii="Arial" w:hAnsi="Arial"/>
      <w:sz w:val="24"/>
      <w:szCs w:val="24"/>
    </w:rPr>
  </w:style>
  <w:style w:type="paragraph" w:styleId="Overskrift1">
    <w:name w:val="heading 1"/>
    <w:basedOn w:val="Normal"/>
    <w:next w:val="Normal"/>
    <w:link w:val="Overskrift1Tegn"/>
    <w:qFormat/>
    <w:rsid w:val="00F8144D"/>
    <w:pPr>
      <w:keepNext/>
      <w:spacing w:before="100" w:beforeAutospacing="1" w:after="240" w:line="260" w:lineRule="auto"/>
      <w:jc w:val="both"/>
      <w:outlineLvl w:val="0"/>
    </w:pPr>
    <w:rPr>
      <w:rFonts w:cs="Arial"/>
      <w:b/>
      <w:bCs/>
      <w:sz w:val="32"/>
      <w:szCs w:val="32"/>
    </w:rPr>
  </w:style>
  <w:style w:type="paragraph" w:styleId="Overskrift2">
    <w:name w:val="heading 2"/>
    <w:basedOn w:val="Normal"/>
    <w:next w:val="Normal"/>
    <w:link w:val="Overskrift2Tegn"/>
    <w:qFormat/>
    <w:rsid w:val="00913690"/>
    <w:pPr>
      <w:keepNext/>
      <w:framePr w:hSpace="141" w:wrap="notBeside" w:vAnchor="text" w:hAnchor="margin" w:y="184"/>
      <w:spacing w:line="260" w:lineRule="auto"/>
      <w:jc w:val="both"/>
      <w:outlineLvl w:val="1"/>
    </w:pPr>
    <w:rPr>
      <w:rFonts w:cs="Arial"/>
      <w:i/>
      <w:iCs/>
      <w:spacing w:val="20"/>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913690"/>
    <w:rPr>
      <w:color w:val="0000FF"/>
      <w:u w:val="single"/>
    </w:rPr>
  </w:style>
  <w:style w:type="character" w:customStyle="1" w:styleId="Overskrift1Tegn">
    <w:name w:val="Overskrift 1 Tegn"/>
    <w:basedOn w:val="Standardskrifttypeiafsnit"/>
    <w:link w:val="Overskrift1"/>
    <w:rsid w:val="00F8144D"/>
    <w:rPr>
      <w:rFonts w:ascii="Arial" w:hAnsi="Arial" w:cs="Arial"/>
      <w:b/>
      <w:bCs/>
      <w:sz w:val="32"/>
      <w:szCs w:val="32"/>
    </w:rPr>
  </w:style>
  <w:style w:type="character" w:customStyle="1" w:styleId="Overskrift2Tegn">
    <w:name w:val="Overskrift 2 Tegn"/>
    <w:basedOn w:val="Standardskrifttypeiafsnit"/>
    <w:link w:val="Overskrift2"/>
    <w:rsid w:val="00913690"/>
    <w:rPr>
      <w:rFonts w:ascii="Arial" w:hAnsi="Arial" w:cs="Arial"/>
      <w:i/>
      <w:iCs/>
      <w:spacing w:val="20"/>
      <w:sz w:val="18"/>
      <w:szCs w:val="24"/>
    </w:rPr>
  </w:style>
  <w:style w:type="paragraph" w:styleId="Sidefod">
    <w:name w:val="footer"/>
    <w:basedOn w:val="Normal"/>
    <w:link w:val="SidefodTegn"/>
    <w:rsid w:val="00913690"/>
    <w:pPr>
      <w:tabs>
        <w:tab w:val="center" w:pos="4819"/>
        <w:tab w:val="right" w:pos="9638"/>
      </w:tabs>
      <w:spacing w:line="260" w:lineRule="auto"/>
      <w:jc w:val="both"/>
    </w:pPr>
  </w:style>
  <w:style w:type="character" w:customStyle="1" w:styleId="SidefodTegn">
    <w:name w:val="Sidefod Tegn"/>
    <w:basedOn w:val="Standardskrifttypeiafsnit"/>
    <w:link w:val="Sidefod"/>
    <w:rsid w:val="00913690"/>
    <w:rPr>
      <w:rFonts w:ascii="Arial" w:hAnsi="Arial"/>
      <w:sz w:val="24"/>
      <w:szCs w:val="24"/>
    </w:rPr>
  </w:style>
  <w:style w:type="paragraph" w:styleId="Sidehoved">
    <w:name w:val="header"/>
    <w:basedOn w:val="Normal"/>
    <w:link w:val="SidehovedTegn"/>
    <w:rsid w:val="00913690"/>
    <w:pPr>
      <w:tabs>
        <w:tab w:val="center" w:pos="4819"/>
        <w:tab w:val="right" w:pos="9638"/>
      </w:tabs>
      <w:spacing w:line="260" w:lineRule="auto"/>
      <w:jc w:val="both"/>
    </w:pPr>
  </w:style>
  <w:style w:type="character" w:customStyle="1" w:styleId="SidehovedTegn">
    <w:name w:val="Sidehoved Tegn"/>
    <w:basedOn w:val="Standardskrifttypeiafsnit"/>
    <w:link w:val="Sidehoved"/>
    <w:rsid w:val="00913690"/>
    <w:rPr>
      <w:rFonts w:ascii="Arial" w:hAnsi="Arial"/>
      <w:sz w:val="24"/>
      <w:szCs w:val="24"/>
    </w:rPr>
  </w:style>
  <w:style w:type="paragraph" w:styleId="Markeringsbobletekst">
    <w:name w:val="Balloon Text"/>
    <w:basedOn w:val="Normal"/>
    <w:link w:val="MarkeringsbobletekstTegn"/>
    <w:rsid w:val="00013BC7"/>
    <w:pPr>
      <w:spacing w:line="260" w:lineRule="auto"/>
      <w:jc w:val="both"/>
    </w:pPr>
    <w:rPr>
      <w:rFonts w:ascii="Tahoma" w:hAnsi="Tahoma" w:cs="Tahoma"/>
      <w:sz w:val="16"/>
      <w:szCs w:val="16"/>
    </w:rPr>
  </w:style>
  <w:style w:type="character" w:customStyle="1" w:styleId="MarkeringsbobletekstTegn">
    <w:name w:val="Markeringsbobletekst Tegn"/>
    <w:basedOn w:val="Standardskrifttypeiafsnit"/>
    <w:link w:val="Markeringsbobletekst"/>
    <w:rsid w:val="00013B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398564">
      <w:bodyDiv w:val="1"/>
      <w:marLeft w:val="0"/>
      <w:marRight w:val="0"/>
      <w:marTop w:val="0"/>
      <w:marBottom w:val="0"/>
      <w:divBdr>
        <w:top w:val="none" w:sz="0" w:space="0" w:color="auto"/>
        <w:left w:val="none" w:sz="0" w:space="0" w:color="auto"/>
        <w:bottom w:val="none" w:sz="0" w:space="0" w:color="auto"/>
        <w:right w:val="none" w:sz="0" w:space="0" w:color="auto"/>
      </w:divBdr>
    </w:div>
    <w:div w:id="410280383">
      <w:bodyDiv w:val="1"/>
      <w:marLeft w:val="0"/>
      <w:marRight w:val="0"/>
      <w:marTop w:val="0"/>
      <w:marBottom w:val="0"/>
      <w:divBdr>
        <w:top w:val="none" w:sz="0" w:space="0" w:color="auto"/>
        <w:left w:val="none" w:sz="0" w:space="0" w:color="auto"/>
        <w:bottom w:val="none" w:sz="0" w:space="0" w:color="auto"/>
        <w:right w:val="none" w:sz="0" w:space="0" w:color="auto"/>
      </w:divBdr>
    </w:div>
    <w:div w:id="870073786">
      <w:bodyDiv w:val="1"/>
      <w:marLeft w:val="0"/>
      <w:marRight w:val="0"/>
      <w:marTop w:val="0"/>
      <w:marBottom w:val="0"/>
      <w:divBdr>
        <w:top w:val="none" w:sz="0" w:space="0" w:color="auto"/>
        <w:left w:val="none" w:sz="0" w:space="0" w:color="auto"/>
        <w:bottom w:val="none" w:sz="0" w:space="0" w:color="auto"/>
        <w:right w:val="none" w:sz="0" w:space="0" w:color="auto"/>
      </w:divBdr>
    </w:div>
    <w:div w:id="885415498">
      <w:bodyDiv w:val="1"/>
      <w:marLeft w:val="0"/>
      <w:marRight w:val="0"/>
      <w:marTop w:val="0"/>
      <w:marBottom w:val="0"/>
      <w:divBdr>
        <w:top w:val="none" w:sz="0" w:space="0" w:color="auto"/>
        <w:left w:val="none" w:sz="0" w:space="0" w:color="auto"/>
        <w:bottom w:val="none" w:sz="0" w:space="0" w:color="auto"/>
        <w:right w:val="none" w:sz="0" w:space="0" w:color="auto"/>
      </w:divBdr>
    </w:div>
    <w:div w:id="1028335204">
      <w:bodyDiv w:val="1"/>
      <w:marLeft w:val="0"/>
      <w:marRight w:val="0"/>
      <w:marTop w:val="0"/>
      <w:marBottom w:val="0"/>
      <w:divBdr>
        <w:top w:val="none" w:sz="0" w:space="0" w:color="auto"/>
        <w:left w:val="none" w:sz="0" w:space="0" w:color="auto"/>
        <w:bottom w:val="none" w:sz="0" w:space="0" w:color="auto"/>
        <w:right w:val="none" w:sz="0" w:space="0" w:color="auto"/>
      </w:divBdr>
    </w:div>
    <w:div w:id="1389650892">
      <w:bodyDiv w:val="1"/>
      <w:marLeft w:val="0"/>
      <w:marRight w:val="0"/>
      <w:marTop w:val="0"/>
      <w:marBottom w:val="0"/>
      <w:divBdr>
        <w:top w:val="none" w:sz="0" w:space="0" w:color="auto"/>
        <w:left w:val="none" w:sz="0" w:space="0" w:color="auto"/>
        <w:bottom w:val="none" w:sz="0" w:space="0" w:color="auto"/>
        <w:right w:val="none" w:sz="0" w:space="0" w:color="auto"/>
      </w:divBdr>
    </w:div>
    <w:div w:id="1714037313">
      <w:bodyDiv w:val="1"/>
      <w:marLeft w:val="0"/>
      <w:marRight w:val="0"/>
      <w:marTop w:val="0"/>
      <w:marBottom w:val="0"/>
      <w:divBdr>
        <w:top w:val="none" w:sz="0" w:space="0" w:color="auto"/>
        <w:left w:val="none" w:sz="0" w:space="0" w:color="auto"/>
        <w:bottom w:val="none" w:sz="0" w:space="0" w:color="auto"/>
        <w:right w:val="none" w:sz="0" w:space="0" w:color="auto"/>
      </w:divBdr>
    </w:div>
    <w:div w:id="1758332596">
      <w:bodyDiv w:val="1"/>
      <w:marLeft w:val="0"/>
      <w:marRight w:val="0"/>
      <w:marTop w:val="0"/>
      <w:marBottom w:val="0"/>
      <w:divBdr>
        <w:top w:val="none" w:sz="0" w:space="0" w:color="auto"/>
        <w:left w:val="none" w:sz="0" w:space="0" w:color="auto"/>
        <w:bottom w:val="none" w:sz="0" w:space="0" w:color="auto"/>
        <w:right w:val="none" w:sz="0" w:space="0" w:color="auto"/>
      </w:divBdr>
    </w:div>
    <w:div w:id="1782721777">
      <w:bodyDiv w:val="1"/>
      <w:marLeft w:val="0"/>
      <w:marRight w:val="0"/>
      <w:marTop w:val="0"/>
      <w:marBottom w:val="0"/>
      <w:divBdr>
        <w:top w:val="none" w:sz="0" w:space="0" w:color="auto"/>
        <w:left w:val="none" w:sz="0" w:space="0" w:color="auto"/>
        <w:bottom w:val="none" w:sz="0" w:space="0" w:color="auto"/>
        <w:right w:val="none" w:sz="0" w:space="0" w:color="auto"/>
      </w:divBdr>
    </w:div>
    <w:div w:id="195409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1078</Words>
  <Characters>6106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Holstebro Kommune</Company>
  <LinksUpToDate>false</LinksUpToDate>
  <CharactersWithSpaces>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amstab</cp:lastModifiedBy>
  <cp:revision>4</cp:revision>
  <cp:lastPrinted>2013-03-25T09:16:00Z</cp:lastPrinted>
  <dcterms:created xsi:type="dcterms:W3CDTF">2013-09-17T11:10:00Z</dcterms:created>
  <dcterms:modified xsi:type="dcterms:W3CDTF">2013-09-19T10:38:00Z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C:\Users\amstab\AppData\Local\Temp\11\SJ20130919103409121 [DOK5011660].DOCX</vt:lpwstr>
  </property>
  <property fmtid="{D5CDD505-2E9C-101B-9397-08002B2CF9AE}" pid="3" name="title">
    <vt:lpwstr>Social og Sundhedsudvalget 31. august 2013 (Social og Arbejdsmarked)</vt:lpwstr>
  </property>
  <property fmtid="{D5CDD505-2E9C-101B-9397-08002B2CF9AE}" pid="4" name="command">
    <vt:lpwstr/>
  </property>
</Properties>
</file>